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6.xml" ContentType="application/vnd.openxmlformats-officedocument.wordprocessingml.footer+xml"/>
  <Override PartName="/word/footer2.xml" ContentType="application/vnd.openxmlformats-officedocument.wordprocessingml.footer+xml"/>
  <Override PartName="/word/footer5.xml" ContentType="application/vnd.openxmlformats-officedocument.wordprocessingml.footer+xml"/>
  <Override PartName="/word/footer1.xml" ContentType="application/vnd.openxmlformats-officedocument.wordprocessingml.footer+xml"/>
  <Override PartName="/word/footer4.xml" ContentType="application/vnd.openxmlformats-officedocument.wordprocessingml.footer+xml"/>
  <Override PartName="/word/media/rId25.png" ContentType="image/png"/>
  <Override PartName="/word/media/rId109.png" ContentType="image/png"/>
  <Override PartName="/word/media/rId29.png" ContentType="image/png"/>
  <Override PartName="/word/media/rId118.png" ContentType="image/png"/>
  <Override PartName="/word/media/rId32.png" ContentType="image/png"/>
  <Override PartName="/word/media/rId122.png" ContentType="image/png"/>
  <Override PartName="/word/media/rId59.png" ContentType="image/png"/>
  <Override PartName="/word/media/rId56.png" ContentType="image/png"/>
  <Override PartName="/word/media/rId71.png" ContentType="image/png"/>
  <Override PartName="/word/media/rId68.png" ContentType="image/png"/>
  <Override PartName="/word/media/rId50.png" ContentType="image/png"/>
  <Override PartName="/word/media/rId53.png" ContentType="image/png"/>
  <Override PartName="/word/media/rId62.png" ContentType="image/png"/>
  <Override PartName="/word/media/rId43.png" ContentType="image/png"/>
  <Override PartName="/word/media/rId113.png" ContentType="image/png"/>
  <Override PartName="/word/media/rId46.png" ContentType="image/png"/>
  <Override PartName="/word/media/rId93.png" ContentType="image/png"/>
  <Override PartName="/word/media/rId96.png" ContentType="image/png"/>
  <Override PartName="/word/media/rId39.png" ContentType="image/png"/>
  <Override PartName="/word/media/rId36.png" ContentType="image/png"/>
  <Override PartName="/word/media/rId88.png" ContentType="image/png"/>
  <Override PartName="/word/media/rId100.png" ContentType="image/png"/>
  <Override PartName="/word/media/rId103.png" ContentType="image/png"/>
  <Override PartName="/word/media/rId75.png" ContentType="image/png"/>
  <Override PartName="/word/media/rId81.png" ContentType="image/png"/>
  <Override PartName="/word/media/rId84.png" ContentType="image/png"/>
  <Override PartName="/word/media/rId78.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Veřejné</w:t>
      </w:r>
      <w:r>
        <w:t xml:space="preserve"> </w:t>
      </w:r>
      <w:r>
        <w:t xml:space="preserve">výdaje</w:t>
      </w:r>
      <w:r>
        <w:t xml:space="preserve"> </w:t>
      </w:r>
      <w:r>
        <w:t xml:space="preserve">a</w:t>
      </w:r>
      <w:r>
        <w:t xml:space="preserve"> </w:t>
      </w:r>
      <w:r>
        <w:t xml:space="preserve">ESI</w:t>
      </w:r>
      <w:r>
        <w:t xml:space="preserve"> </w:t>
      </w:r>
      <w:r>
        <w:t xml:space="preserve">fondy:</w:t>
      </w:r>
      <w:r>
        <w:t xml:space="preserve"> </w:t>
      </w:r>
      <w:r>
        <w:t xml:space="preserve">hlavní</w:t>
      </w:r>
      <w:r>
        <w:t xml:space="preserve"> </w:t>
      </w:r>
      <w:r>
        <w:t xml:space="preserve">poznatky</w:t>
      </w:r>
    </w:p>
    <w:p>
      <w:pPr>
        <w:pStyle w:val="Subtitle"/>
      </w:pPr>
      <w:r>
        <w:t xml:space="preserve">Interní</w:t>
      </w:r>
      <w:r>
        <w:t xml:space="preserve"> </w:t>
      </w:r>
      <w:r>
        <w:t xml:space="preserve">draft</w:t>
      </w:r>
    </w:p>
    <w:p>
      <w:pPr>
        <w:pStyle w:val="Date"/>
      </w:pPr>
      <w:r>
        <w:t xml:space="preserve">12/2021</w:t>
      </w:r>
    </w:p>
    <w:sdt>
      <w:sdtPr>
        <w:docPartObj>
          <w:docPartGallery w:val="Table of Contents"/>
          <w:docPartUnique/>
        </w:docPartObj>
      </w:sdtPr>
      <w:sdtContent>
        <w:p>
          <w:pPr>
            <w:pStyle w:val="TOCHeading"/>
          </w:pPr>
          <w:r>
            <w:t xml:space="preserve">Obsah</w:t>
          </w:r>
        </w:p>
        <w:p>
          <w:r>
            <w:fldChar w:fldCharType="begin" w:dirty="true"/>
            <w:instrText xml:space="preserve">TOC \o "1-1" \h \z \u</w:instrText>
            <w:fldChar w:fldCharType="separate"/>
            <w:fldChar w:fldCharType="end"/>
          </w:r>
        </w:p>
      </w:sdtContent>
    </w:sdt>
    <w:bookmarkStart w:id="20" w:name="shrnutí"/>
    <w:p>
      <w:pPr>
        <w:pStyle w:val="Heading1"/>
      </w:pPr>
      <w:r>
        <w:t xml:space="preserve">Shrnutí</w:t>
      </w:r>
    </w:p>
    <w:p>
      <w:pPr>
        <w:numPr>
          <w:ilvl w:val="0"/>
          <w:numId w:val="1001"/>
        </w:numPr>
        <w:pStyle w:val="Compact"/>
      </w:pPr>
      <w:r>
        <w:t xml:space="preserve">V roce 2020 ESI fondy tvořily 123 mld. Kč z celého státního rozpočtu o objemu 1 843 mld. Kč.</w:t>
      </w:r>
    </w:p>
    <w:p>
      <w:pPr>
        <w:numPr>
          <w:ilvl w:val="0"/>
          <w:numId w:val="1001"/>
        </w:numPr>
        <w:pStyle w:val="Compact"/>
      </w:pPr>
      <w:r>
        <w:t xml:space="preserve">Podíl ESI fondů na celkových výdajích SR se mezi lety 2016 a 2020 drží mezi 5,1 % (rok 2016) a 7,3 % (rok 2019). V roce 2020 mírně klesl na 6,7 %. ➜ více</w:t>
      </w:r>
    </w:p>
    <w:p>
      <w:pPr>
        <w:numPr>
          <w:ilvl w:val="0"/>
          <w:numId w:val="1001"/>
        </w:numPr>
        <w:pStyle w:val="Compact"/>
      </w:pPr>
      <w:r>
        <w:t xml:space="preserve">ESI fondy tvoří větší poměr kapitálových (42 % v roce 2020) než běžných (3 % v roce 2020) výdajů, přičemž ale kapitálové výdaje tvoří výrazně menší část rozpočtových výdajů (173 mld., 9 % rozpočtových výdajů v roce 2020). ➜ více</w:t>
      </w:r>
    </w:p>
    <w:p>
      <w:pPr>
        <w:numPr>
          <w:ilvl w:val="0"/>
          <w:numId w:val="1001"/>
        </w:numPr>
        <w:pStyle w:val="Compact"/>
      </w:pPr>
      <w:r>
        <w:t xml:space="preserve">Ve třech rozpočtových oddílech (druhá nejvyšší agregace odvětvového třídění) tvořily ESI fondy průměrně více než 50 % výdajů: Bydlení, komunální služby a územní rozvoj, Vodní hospodářství a ochrana životního prostředí. Všechny tyto oblasti jsou dominantně kapitálové.</w:t>
      </w:r>
    </w:p>
    <w:p>
      <w:pPr>
        <w:numPr>
          <w:ilvl w:val="0"/>
          <w:numId w:val="1001"/>
        </w:numPr>
        <w:pStyle w:val="Compact"/>
      </w:pPr>
      <w:r>
        <w:t xml:space="preserve">V běžných výdajích je role ESIF obecně menší, ale výrazně patrná je role ESIF v oddílech Bydlení, komunální služby a územní rozvoj (v tom jediném překračuje 30 %), ochraně životního prostředí, zemědělství, ale i sociálních službách (všude přes 15 %). ➜ více</w:t>
      </w:r>
    </w:p>
    <w:p>
      <w:pPr>
        <w:numPr>
          <w:ilvl w:val="0"/>
          <w:numId w:val="1001"/>
        </w:numPr>
        <w:pStyle w:val="Compact"/>
      </w:pPr>
      <w:r>
        <w:t xml:space="preserve">Vybrané oblasti výdajů analyzujeme detailněji; v podrobnějším pohledu je patrné mj. využití ESI fondů v reakci veřejného sektoru na pandemii Covid-19 ➜ více</w:t>
      </w:r>
    </w:p>
    <w:p>
      <w:pPr>
        <w:numPr>
          <w:ilvl w:val="0"/>
          <w:numId w:val="1001"/>
        </w:numPr>
        <w:pStyle w:val="Compact"/>
      </w:pPr>
      <w:r>
        <w:t xml:space="preserve">Tyto výsledky vycházení z analýzy otevřených dat Státní pokladny a pokrývají roky 2015-2020, přičemž v letech 2016-2020 jde o výdaje programového období 2014-2020. ➜ více</w:t>
      </w:r>
    </w:p>
    <w:p>
      <w:pPr>
        <w:numPr>
          <w:ilvl w:val="0"/>
          <w:numId w:val="1001"/>
        </w:numPr>
        <w:pStyle w:val="Compact"/>
      </w:pPr>
      <w:r>
        <w:t xml:space="preserve">Dostupná data umožňují i detailnější a pokročilejší analýzy, např. na úrovni samospráv a v celkovém pohledu na veřejné výdaje. V některých oblastech je ale překážkou kvalita dat, kdy nelze sledovat časové řady nebo z kategorií usuzovat na oblasti veřejných politik. ➜ více</w:t>
      </w:r>
    </w:p>
    <w:bookmarkEnd w:id="20"/>
    <w:bookmarkStart w:id="24" w:name="úvod"/>
    <w:p>
      <w:pPr>
        <w:pStyle w:val="Heading1"/>
      </w:pPr>
      <w:r>
        <w:t xml:space="preserve">Úvod</w:t>
      </w:r>
    </w:p>
    <w:bookmarkStart w:id="21" w:name="cíle-a-motivace"/>
    <w:p>
      <w:pPr>
        <w:pStyle w:val="Heading2"/>
      </w:pPr>
      <w:r>
        <w:t xml:space="preserve">Cíle a motivace</w:t>
      </w:r>
    </w:p>
    <w:p>
      <w:pPr>
        <w:pStyle w:val="FirstParagraph"/>
      </w:pPr>
      <w:r>
        <w:t xml:space="preserve">Evropské strukturální a investiční fondy (ESI fondy) tvoří podstatnou část veřejných výdajů.</w:t>
      </w:r>
      <w:r>
        <w:t xml:space="preserve"> </w:t>
      </w:r>
      <w:r>
        <w:t xml:space="preserve">Cílem této studie je zmapovat, ve kterých oblastech výdajů státního rozpočtu hrají ESI fondy největší roli a jak se jejich podíl na výdajích vyvíjí od roku 2015.</w:t>
      </w:r>
    </w:p>
    <w:p>
      <w:pPr>
        <w:pStyle w:val="BodyText"/>
      </w:pPr>
      <w:r>
        <w:t xml:space="preserve">Tato studie navazuje na studii MMR z roku 2017</w:t>
      </w:r>
      <w:r>
        <w:t xml:space="preserve"> </w:t>
      </w:r>
      <w:r>
        <w:t xml:space="preserve">(</w:t>
      </w:r>
      <w:hyperlink w:anchor="X8ee745528ca71583fc1de04ae4dcf660c40ff21">
        <w:r>
          <w:rPr>
            <w:rStyle w:val="Hyperlink"/>
          </w:rPr>
          <w:t xml:space="preserve">Ministerstvo pro místní rozvoj 2017</w:t>
        </w:r>
      </w:hyperlink>
      <w:r>
        <w:t xml:space="preserve">)</w:t>
      </w:r>
      <w:r>
        <w:t xml:space="preserve">.</w:t>
      </w:r>
      <w:r>
        <w:t xml:space="preserve"> </w:t>
      </w:r>
      <w:r>
        <w:t xml:space="preserve">Od předchozí studie se přístup liší ve dvou směrech:</w:t>
      </w:r>
    </w:p>
    <w:p>
      <w:pPr>
        <w:numPr>
          <w:ilvl w:val="0"/>
          <w:numId w:val="1002"/>
        </w:numPr>
        <w:pStyle w:val="Compact"/>
      </w:pPr>
      <w:r>
        <w:t xml:space="preserve">omezujeme se pouze na státní rozpočet, tj. nezabýváme se rozpočty samospráv a státních fondů</w:t>
      </w:r>
    </w:p>
    <w:p>
      <w:pPr>
        <w:numPr>
          <w:ilvl w:val="0"/>
          <w:numId w:val="1002"/>
        </w:numPr>
        <w:pStyle w:val="Compact"/>
      </w:pPr>
      <w:r>
        <w:t xml:space="preserve">pokrýváme veškeré výdaje státního rozpočtu, tj. na rozdíl od studie z roku 2017 nevylučujeme z analýzy celkových výdajů oblasti, kde ESI fondy nehrají výraznou roli (např. mandatorní výdaje)</w:t>
      </w:r>
    </w:p>
    <w:p>
      <w:pPr>
        <w:pStyle w:val="FirstParagraph"/>
      </w:pPr>
      <w:r>
        <w:t xml:space="preserve">Z toho důvodu bohužel nejsou údaje mezi studiemi srovnatelné, tj.</w:t>
      </w:r>
      <w:r>
        <w:t xml:space="preserve"> </w:t>
      </w:r>
      <w:r>
        <w:t xml:space="preserve">nelze z nich sestavit souvislou časovou řadu období 2008-15 a 2015-20.</w:t>
      </w:r>
      <w:r>
        <w:t xml:space="preserve"> </w:t>
      </w:r>
      <w:r>
        <w:t xml:space="preserve">Pro alespoň částečné srovnání ale</w:t>
      </w:r>
      <w:r>
        <w:t xml:space="preserve"> </w:t>
      </w:r>
      <w:hyperlink w:anchor="studie2017">
        <w:r>
          <w:rPr>
            <w:rStyle w:val="Hyperlink"/>
          </w:rPr>
          <w:t xml:space="preserve">v příloze</w:t>
        </w:r>
      </w:hyperlink>
      <w:r>
        <w:t xml:space="preserve"> </w:t>
      </w:r>
      <w:r>
        <w:t xml:space="preserve">vizualizujeme alternativní verzi části výpočtů, která kopíruje množinu veřejných výdajů analyzovanou ve studii z roku 2017.</w:t>
      </w:r>
      <w:r>
        <w:t xml:space="preserve"> </w:t>
      </w:r>
      <w:r>
        <w:t xml:space="preserve">Ani tím ale nedokážeme zajistit srovnatelnost celkových výsledků, protože data o podílu ESI fondů nejsou v období 2015-20 přímo dostupná pro výdaje samospráv a státních fondů.</w:t>
      </w:r>
    </w:p>
    <w:bookmarkEnd w:id="21"/>
    <w:bookmarkStart w:id="22" w:name="metody-a-zdroje-dat"/>
    <w:p>
      <w:pPr>
        <w:pStyle w:val="Heading2"/>
      </w:pPr>
      <w:r>
        <w:t xml:space="preserve">Metody a zdroje dat</w:t>
      </w:r>
    </w:p>
    <w:p>
      <w:pPr>
        <w:pStyle w:val="FirstParagraph"/>
      </w:pPr>
      <w:r>
        <w:t xml:space="preserve">K analýze využíváme otevřená data z Monitoru Státní pokladny a analyzujeme je podle existujících třídění rozpočtové skladby, kde nejpodstatnější jsou třídění druhové (na nejvyšší úrovni dělí výdaje na běžné a kapitálové) a třídění odvětvové (tzv. paragrafy a jejich skupiny odpovídající oblastem veřejných politik.)</w:t>
      </w:r>
    </w:p>
    <w:p>
      <w:pPr>
        <w:pStyle w:val="BodyText"/>
      </w:pPr>
      <w:r>
        <w:t xml:space="preserve">Výdaje financované z ESI fondů identifikujeme ve zdrojovém třídění a započítáváme do nich všechny typy výdajů spojené s jednotlivými operačními programy.</w:t>
      </w:r>
      <w:r>
        <w:t xml:space="preserve"> </w:t>
      </w:r>
      <w:r>
        <w:t xml:space="preserve">Nezahrnujeme naopak tzv. Norské a EEA fondy.</w:t>
      </w:r>
      <w:r>
        <w:t xml:space="preserve"> </w:t>
      </w:r>
      <w:r>
        <w:t xml:space="preserve">Detaily jsou uvedeny</w:t>
      </w:r>
      <w:r>
        <w:t xml:space="preserve"> </w:t>
      </w:r>
      <w:hyperlink w:anchor="data">
        <w:r>
          <w:rPr>
            <w:rStyle w:val="Hyperlink"/>
          </w:rPr>
          <w:t xml:space="preserve">v příloze</w:t>
        </w:r>
      </w:hyperlink>
      <w:r>
        <w:t xml:space="preserve">.</w:t>
      </w:r>
    </w:p>
    <w:p>
      <w:pPr>
        <w:pStyle w:val="BodyText"/>
      </w:pPr>
      <w:r>
        <w:t xml:space="preserve">Všechny grafy níže (s výjimkou Přílohy 1) zobrazují výsledky vlastní analýzy na základě dat Monitoru Státní pokladny v rozsahu odpovídajícím hranicím státního rozpočtu.</w:t>
      </w:r>
    </w:p>
    <w:bookmarkEnd w:id="22"/>
    <w:bookmarkStart w:id="23" w:name="jak-studii-číst"/>
    <w:p>
      <w:pPr>
        <w:pStyle w:val="Heading2"/>
      </w:pPr>
      <w:r>
        <w:t xml:space="preserve">Jak studii číst</w:t>
      </w:r>
    </w:p>
    <w:p>
      <w:pPr>
        <w:pStyle w:val="FirstParagraph"/>
      </w:pPr>
      <w:r>
        <w:t xml:space="preserve">Studie postupuje od nejvyšší agregace k detailům.</w:t>
      </w:r>
      <w:r>
        <w:t xml:space="preserve"> </w:t>
      </w:r>
      <w:r>
        <w:t xml:space="preserve">Sleduje tedy napřed</w:t>
      </w:r>
      <w:r>
        <w:t xml:space="preserve"> </w:t>
      </w:r>
      <w:hyperlink w:anchor="celkove">
        <w:r>
          <w:rPr>
            <w:rStyle w:val="Hyperlink"/>
          </w:rPr>
          <w:t xml:space="preserve">celkové výdaje</w:t>
        </w:r>
      </w:hyperlink>
      <w:r>
        <w:t xml:space="preserve">, pak dělení na běžné a kapitálové (</w:t>
      </w:r>
      <w:hyperlink w:anchor="bezkap">
        <w:r>
          <w:rPr>
            <w:rStyle w:val="Hyperlink"/>
          </w:rPr>
          <w:t xml:space="preserve">druhové členění</w:t>
        </w:r>
      </w:hyperlink>
      <w:r>
        <w:t xml:space="preserve">), a následně běžné a kapitálové výdaje v jednotlivých skupinách, oddílech a pododdílech (odvětvového členění).</w:t>
      </w:r>
    </w:p>
    <w:p>
      <w:pPr>
        <w:pStyle w:val="BodyText"/>
      </w:pPr>
      <w:r>
        <w:t xml:space="preserve">V části</w:t>
      </w:r>
      <w:r>
        <w:t xml:space="preserve"> </w:t>
      </w:r>
      <w:r>
        <w:t xml:space="preserve">6</w:t>
      </w:r>
      <w:r>
        <w:t xml:space="preserve"> </w:t>
      </w:r>
      <w:r>
        <w:t xml:space="preserve">se pak zaměřujeme na několik oblastí výdajů, ve kterých ESI fondy hrají obzvláště podstatnou roli a s využitím jemnějších kategorií odvětvového členění identifikujeme přesnější oblasti veřejných výdajů, kterých se tato charakteristika týká.</w:t>
      </w:r>
    </w:p>
    <w:bookmarkEnd w:id="23"/>
    <w:bookmarkEnd w:id="24"/>
    <w:bookmarkStart w:id="28" w:name="celkove"/>
    <w:p>
      <w:pPr>
        <w:pStyle w:val="Heading1"/>
      </w:pPr>
      <w:r>
        <w:t xml:space="preserve">Celkové výdaje</w:t>
      </w:r>
    </w:p>
    <w:p>
      <w:pPr>
        <w:pStyle w:val="FirstParagraph"/>
      </w:pPr>
      <w:r>
        <w:t xml:space="preserve">Výdaje státního rozpočtu v roce 2020 byly 1 843 mld. Kč, z toho 123 mld. Kč činily výdaje kryté ESI fondy.</w:t>
      </w:r>
      <w:r>
        <w:t xml:space="preserve"> </w:t>
      </w:r>
      <w:r>
        <w:t xml:space="preserve">Jak ukazuje graf</w:t>
      </w:r>
      <w:r>
        <w:t xml:space="preserve"> </w:t>
      </w:r>
      <w:r>
        <w:t xml:space="preserve">1</w:t>
      </w:r>
      <w:r>
        <w:t xml:space="preserve">, u celkových výdajů jde o nárůst z roku 2015 (1 297 mld. Kč), kdy ale následkem dobíhajícího programového období 2007-13 hrály ESI fondy větší roli (183 mld. Kč).</w:t>
      </w:r>
    </w:p>
    <w:p>
      <w:pPr>
        <w:pStyle w:val="CaptionedFigure"/>
      </w:pPr>
      <w:r>
        <w:drawing>
          <wp:inline>
            <wp:extent cx="5613400" cy="2588145"/>
            <wp:effectExtent b="0" l="0" r="0" t="0"/>
            <wp:docPr descr="Graf 1 Role ESIF ve výdajích státního rozpočtu" title="" id="26" name="Picture"/>
            <a:graphic>
              <a:graphicData uri="http://schemas.openxmlformats.org/drawingml/2006/picture">
                <pic:pic>
                  <pic:nvPicPr>
                    <pic:cNvPr descr="s_analyza_files/figure-docx/plot-abs-1.png" id="27" name="Picture"/>
                    <pic:cNvPicPr>
                      <a:picLocks noChangeArrowheads="1" noChangeAspect="1"/>
                    </pic:cNvPicPr>
                  </pic:nvPicPr>
                  <pic:blipFill>
                    <a:blip r:embed="rId25"/>
                    <a:stretch>
                      <a:fillRect/>
                    </a:stretch>
                  </pic:blipFill>
                  <pic:spPr bwMode="auto">
                    <a:xfrm>
                      <a:off x="0" y="0"/>
                      <a:ext cx="5613400" cy="2588145"/>
                    </a:xfrm>
                    <a:prstGeom prst="rect">
                      <a:avLst/>
                    </a:prstGeom>
                    <a:noFill/>
                    <a:ln w="9525">
                      <a:noFill/>
                      <a:headEnd/>
                      <a:tailEnd/>
                    </a:ln>
                  </pic:spPr>
                </pic:pic>
              </a:graphicData>
            </a:graphic>
          </wp:inline>
        </w:drawing>
      </w:r>
    </w:p>
    <w:p>
      <w:pPr>
        <w:pStyle w:val="ImageCaption"/>
      </w:pPr>
      <w:r>
        <w:rPr>
          <w:bCs/>
          <w:b/>
        </w:rPr>
        <w:t xml:space="preserve">Graf 1</w:t>
      </w:r>
      <w:r>
        <w:t xml:space="preserve"> </w:t>
      </w:r>
      <w:r>
        <w:t xml:space="preserve">Role ESIF ve výdajích státního rozpočtu</w:t>
      </w:r>
    </w:p>
    <w:p>
      <w:pPr>
        <w:pStyle w:val="BodyText"/>
      </w:pPr>
      <w:r>
        <w:t xml:space="preserve">Podíl ESI fondů na celkových výdajích SR se dlouhodobě drží mezi 5,1 % (rok 2016) a 7,3 % (rok 2019).</w:t>
      </w:r>
      <w:r>
        <w:t xml:space="preserve"> </w:t>
      </w:r>
      <w:r>
        <w:t xml:space="preserve">V roce 2020 mírně klesl na 6,7 %.</w:t>
      </w:r>
      <w:r>
        <w:t xml:space="preserve"> </w:t>
      </w:r>
      <w:r>
        <w:t xml:space="preserve">Jak je ale patrné, pokles podílu ESI fondů je především následkem výrazného nárůstu výdajů financovaných z národních zdrojů.</w:t>
      </w:r>
      <w:r>
        <w:t xml:space="preserve"> </w:t>
      </w:r>
      <w:r>
        <w:t xml:space="preserve">Výkyvem byl rok 2015, kdy vlivem dokončování předchozího období a souběhu se začátkem nového dosáhl tento podíl 14,1 %.</w:t>
      </w:r>
    </w:p>
    <w:bookmarkEnd w:id="28"/>
    <w:bookmarkStart w:id="35" w:name="bezkap"/>
    <w:p>
      <w:pPr>
        <w:pStyle w:val="Heading1"/>
      </w:pPr>
      <w:r>
        <w:t xml:space="preserve">Běžné a kapitálové</w:t>
      </w:r>
    </w:p>
    <w:p>
      <w:pPr>
        <w:pStyle w:val="FirstParagraph"/>
      </w:pPr>
      <w:r>
        <w:t xml:space="preserve">Pro porozumění role ESI fondů ve výdajích státního rozpočtu je užitečné tzv. druhové třídění rozpočtu, které ve své nejhrubší agregaci člení výdaje na běžné a kapitálové.</w:t>
      </w:r>
    </w:p>
    <w:p>
      <w:pPr>
        <w:pStyle w:val="CaptionedFigure"/>
      </w:pPr>
      <w:r>
        <w:drawing>
          <wp:inline>
            <wp:extent cx="4587290" cy="2752374"/>
            <wp:effectExtent b="0" l="0" r="0" t="0"/>
            <wp:docPr descr="Graf 2 Národní a ESIF výdaje: běžné a kapitálové" title="" id="30" name="Picture"/>
            <a:graphic>
              <a:graphicData uri="http://schemas.openxmlformats.org/drawingml/2006/picture">
                <pic:pic>
                  <pic:nvPicPr>
                    <pic:cNvPr descr="s_analyza_files/figure-docx/plot-bezkap-abs-1.png" id="31" name="Picture"/>
                    <pic:cNvPicPr>
                      <a:picLocks noChangeArrowheads="1" noChangeAspect="1"/>
                    </pic:cNvPicPr>
                  </pic:nvPicPr>
                  <pic:blipFill>
                    <a:blip r:embed="rId29"/>
                    <a:stretch>
                      <a:fillRect/>
                    </a:stretch>
                  </pic:blipFill>
                  <pic:spPr bwMode="auto">
                    <a:xfrm>
                      <a:off x="0" y="0"/>
                      <a:ext cx="4587290" cy="2752374"/>
                    </a:xfrm>
                    <a:prstGeom prst="rect">
                      <a:avLst/>
                    </a:prstGeom>
                    <a:noFill/>
                    <a:ln w="9525">
                      <a:noFill/>
                      <a:headEnd/>
                      <a:tailEnd/>
                    </a:ln>
                  </pic:spPr>
                </pic:pic>
              </a:graphicData>
            </a:graphic>
          </wp:inline>
        </w:drawing>
      </w:r>
    </w:p>
    <w:p>
      <w:pPr>
        <w:pStyle w:val="ImageCaption"/>
      </w:pPr>
      <w:r>
        <w:rPr>
          <w:bCs/>
          <w:b/>
        </w:rPr>
        <w:t xml:space="preserve">Graf 2</w:t>
      </w:r>
      <w:r>
        <w:t xml:space="preserve"> </w:t>
      </w:r>
      <w:r>
        <w:t xml:space="preserve">Národní a ESIF výdaje: běžné a kapitálové</w:t>
      </w:r>
    </w:p>
    <w:p>
      <w:pPr>
        <w:pStyle w:val="BodyText"/>
      </w:pPr>
      <w:r>
        <w:t xml:space="preserve">Jak ukazují grafy</w:t>
      </w:r>
      <w:r>
        <w:t xml:space="preserve"> </w:t>
      </w:r>
      <w:r>
        <w:t xml:space="preserve">2</w:t>
      </w:r>
      <w:r>
        <w:t xml:space="preserve"> </w:t>
      </w:r>
      <w:r>
        <w:t xml:space="preserve">a</w:t>
      </w:r>
      <w:r>
        <w:t xml:space="preserve"> </w:t>
      </w:r>
      <w:r>
        <w:t xml:space="preserve">3</w:t>
      </w:r>
      <w:r>
        <w:t xml:space="preserve">, ESI fondy tvoří větší poměr kapitálových (42 % v roce 2020) než běžných (3 % v roce 2020) výdajů, přičemž ale kapitálové výdaje tvoří výrazně menší část rozpočtových výdajů (173 mld., 9 % rozpočtových výdajů v roce 2020).</w:t>
      </w:r>
    </w:p>
    <w:p>
      <w:pPr>
        <w:pStyle w:val="CaptionedFigure"/>
      </w:pPr>
      <w:r>
        <w:drawing>
          <wp:inline>
            <wp:extent cx="4587290" cy="2752374"/>
            <wp:effectExtent b="0" l="0" r="0" t="0"/>
            <wp:docPr descr="Graf 3 Podíl ESI fondů na běžných a kapitálových výdajích" title="" id="33" name="Picture"/>
            <a:graphic>
              <a:graphicData uri="http://schemas.openxmlformats.org/drawingml/2006/picture">
                <pic:pic>
                  <pic:nvPicPr>
                    <pic:cNvPr descr="s_analyza_files/figure-docx/plot-bezkap-perc-1.png" id="34" name="Picture"/>
                    <pic:cNvPicPr>
                      <a:picLocks noChangeArrowheads="1" noChangeAspect="1"/>
                    </pic:cNvPicPr>
                  </pic:nvPicPr>
                  <pic:blipFill>
                    <a:blip r:embed="rId32"/>
                    <a:stretch>
                      <a:fillRect/>
                    </a:stretch>
                  </pic:blipFill>
                  <pic:spPr bwMode="auto">
                    <a:xfrm>
                      <a:off x="0" y="0"/>
                      <a:ext cx="4587290" cy="2752374"/>
                    </a:xfrm>
                    <a:prstGeom prst="rect">
                      <a:avLst/>
                    </a:prstGeom>
                    <a:noFill/>
                    <a:ln w="9525">
                      <a:noFill/>
                      <a:headEnd/>
                      <a:tailEnd/>
                    </a:ln>
                  </pic:spPr>
                </pic:pic>
              </a:graphicData>
            </a:graphic>
          </wp:inline>
        </w:drawing>
      </w:r>
    </w:p>
    <w:p>
      <w:pPr>
        <w:pStyle w:val="ImageCaption"/>
      </w:pPr>
      <w:r>
        <w:rPr>
          <w:bCs/>
          <w:b/>
        </w:rPr>
        <w:t xml:space="preserve">Graf 3</w:t>
      </w:r>
      <w:r>
        <w:t xml:space="preserve"> </w:t>
      </w:r>
      <w:r>
        <w:t xml:space="preserve">Podíl ESI fondů na běžných a kapitálových výdajích</w:t>
      </w:r>
    </w:p>
    <w:bookmarkEnd w:id="35"/>
    <w:bookmarkStart w:id="67" w:name="odvětvové-členění"/>
    <w:p>
      <w:pPr>
        <w:pStyle w:val="Heading1"/>
      </w:pPr>
      <w:r>
        <w:t xml:space="preserve">Odvětvové členění</w:t>
      </w:r>
    </w:p>
    <w:p>
      <w:pPr>
        <w:pStyle w:val="FirstParagraph"/>
      </w:pPr>
      <w:r>
        <w:t xml:space="preserve">Další pohled na rozpočtové výdaje užitečný pro porozumění roli ESI fondů poskytuje tzv. odvětvové třídění.</w:t>
      </w:r>
      <w:r>
        <w:t xml:space="preserve"> </w:t>
      </w:r>
      <w:r>
        <w:t xml:space="preserve">Toto třídění zhruba kopíruje oblasti veřejných politik, jde ale napříč resorty (kapitolami).</w:t>
      </w:r>
      <w:r>
        <w:t xml:space="preserve"> </w:t>
      </w:r>
      <w:r>
        <w:t xml:space="preserve">Dělí výdaje do několika set paragrafů, které jsou seskupeny do skupin, oddílů a pododdílů.</w:t>
      </w:r>
      <w:r>
        <w:t xml:space="preserve"> </w:t>
      </w:r>
      <w:r>
        <w:t xml:space="preserve">V této logice ukazujeme roli ESI fondů v dělení na skupiny a pokračujeme přes oddíly k pododdílům.</w:t>
      </w:r>
    </w:p>
    <w:bookmarkStart w:id="42" w:name="skupiny"/>
    <w:p>
      <w:pPr>
        <w:pStyle w:val="Heading2"/>
      </w:pPr>
      <w:r>
        <w:t xml:space="preserve">Skupiny</w:t>
      </w:r>
    </w:p>
    <w:p>
      <w:pPr>
        <w:pStyle w:val="FirstParagraph"/>
      </w:pPr>
      <w:r>
        <w:t xml:space="preserve">U skupin odvětvového členění pro přehlednost zobrazujeme zároveň rozpad na běžné a kapitálové výdaje.</w:t>
      </w:r>
      <w:r>
        <w:t xml:space="preserve"> </w:t>
      </w:r>
      <w:r>
        <w:t xml:space="preserve">Jak je patrné z grafu</w:t>
      </w:r>
      <w:r>
        <w:t xml:space="preserve"> </w:t>
      </w:r>
      <w:r>
        <w:t xml:space="preserve">4</w:t>
      </w:r>
      <w:r>
        <w:t xml:space="preserve">, i na této vysoké úrovni agregace existuje variabilita jak v podílu kapitálových výdajů, tak v podílu ESI fondů na výdajích.</w:t>
      </w:r>
      <w:r>
        <w:t xml:space="preserve"> </w:t>
      </w:r>
      <w:r>
        <w:rPr>
          <w:iCs/>
          <w:i/>
        </w:rPr>
        <w:t xml:space="preserve">Sociální věci a politika zaměstnanosti</w:t>
      </w:r>
      <w:r>
        <w:t xml:space="preserve"> </w:t>
      </w:r>
      <w:r>
        <w:t xml:space="preserve">obsahují minimum kapitálových výdajů a i v dominujících běžných výdajích hrají ESI fondy jen malou roli. (Tato kategorie zahrnuje mj. starobní důchody.)</w:t>
      </w:r>
      <w:r>
        <w:t xml:space="preserve"> </w:t>
      </w:r>
      <w:r>
        <w:t xml:space="preserve">Naopak ve skupině</w:t>
      </w:r>
      <w:r>
        <w:t xml:space="preserve"> </w:t>
      </w:r>
      <w:r>
        <w:rPr>
          <w:iCs/>
          <w:i/>
        </w:rPr>
        <w:t xml:space="preserve">Průmyslová a ostatní odvětví hospodářství</w:t>
      </w:r>
      <w:r>
        <w:t xml:space="preserve"> </w:t>
      </w:r>
      <w:r>
        <w:t xml:space="preserve">- kam patří především podpora podnikání - hrají kapitálové výdaje větší roli a jsou z výrazné části kryty ESI fondy.</w:t>
      </w:r>
      <w:r>
        <w:t xml:space="preserve"> </w:t>
      </w:r>
      <w:r>
        <w:t xml:space="preserve">Ve skupině</w:t>
      </w:r>
      <w:r>
        <w:t xml:space="preserve"> </w:t>
      </w:r>
      <w:r>
        <w:rPr>
          <w:iCs/>
          <w:i/>
        </w:rPr>
        <w:t xml:space="preserve">Služby pro obyvatelstvo</w:t>
      </w:r>
      <w:r>
        <w:t xml:space="preserve"> </w:t>
      </w:r>
      <w:r>
        <w:t xml:space="preserve">je podíl kapitálových výdajů nižší, jsou ale silněji kryty ESI fondy.</w:t>
      </w:r>
      <w:r>
        <w:t xml:space="preserve"> </w:t>
      </w:r>
      <w:r>
        <w:t xml:space="preserve">U obou těchto skupin je v časové řadě patrná dynamika programových období, s dočerpáváním v roce 2015 a pomalým náběhem období 2014-2020 po roce 2015.</w:t>
      </w:r>
    </w:p>
    <w:p>
      <w:pPr>
        <w:pStyle w:val="BodyText"/>
      </w:pPr>
      <w:r>
        <w:t xml:space="preserve">Ve skupině</w:t>
      </w:r>
      <w:r>
        <w:t xml:space="preserve"> </w:t>
      </w:r>
      <w:r>
        <w:rPr>
          <w:iCs/>
          <w:i/>
        </w:rPr>
        <w:t xml:space="preserve">Průmyslová a ostatní odvětví</w:t>
      </w:r>
      <w:r>
        <w:t xml:space="preserve"> </w:t>
      </w:r>
      <w:r>
        <w:t xml:space="preserve">i u běžných výdajů skupiny</w:t>
      </w:r>
      <w:r>
        <w:t xml:space="preserve"> </w:t>
      </w:r>
      <w:r>
        <w:rPr>
          <w:iCs/>
          <w:i/>
        </w:rPr>
        <w:t xml:space="preserve">Sociální věci…</w:t>
      </w:r>
      <w:r>
        <w:t xml:space="preserve"> </w:t>
      </w:r>
      <w:r>
        <w:t xml:space="preserve">graf naznačuje využití ESI fondů v období pandemie Covid-19 pro podporu podniků, resp. jednotlivců zasažených opatřeními souvisejícími s pandemií (viz dále detailnější rozbor).</w:t>
      </w:r>
      <w:r>
        <w:t xml:space="preserve"> </w:t>
      </w:r>
      <w:r>
        <w:t xml:space="preserve">V obou skupinách výdaje ESIF výrazně vzrostly v roce 2020.</w:t>
      </w:r>
      <w:r>
        <w:t xml:space="preserve"> </w:t>
      </w:r>
      <w:r>
        <w:t xml:space="preserve">Na rozdíl od předchozích období tento nárůst je doprovázen i nárůstem výdajů z národních zdrojů.</w:t>
      </w:r>
    </w:p>
    <w:p>
      <w:pPr>
        <w:pStyle w:val="CaptionedFigure"/>
      </w:pPr>
      <w:r>
        <w:drawing>
          <wp:inline>
            <wp:extent cx="5613400" cy="3450860"/>
            <wp:effectExtent b="0" l="0" r="0" t="0"/>
            <wp:docPr descr="Graf 4 Národní a ESIF výdaje dle skupin" title="" id="37" name="Picture"/>
            <a:graphic>
              <a:graphicData uri="http://schemas.openxmlformats.org/drawingml/2006/picture">
                <pic:pic>
                  <pic:nvPicPr>
                    <pic:cNvPr descr="s_analyza_files/figure-docx/plot-trida-skupina-1.png" id="38" name="Picture"/>
                    <pic:cNvPicPr>
                      <a:picLocks noChangeArrowheads="1" noChangeAspect="1"/>
                    </pic:cNvPicPr>
                  </pic:nvPicPr>
                  <pic:blipFill>
                    <a:blip r:embed="rId36"/>
                    <a:stretch>
                      <a:fillRect/>
                    </a:stretch>
                  </pic:blipFill>
                  <pic:spPr bwMode="auto">
                    <a:xfrm>
                      <a:off x="0" y="0"/>
                      <a:ext cx="5613400" cy="3450860"/>
                    </a:xfrm>
                    <a:prstGeom prst="rect">
                      <a:avLst/>
                    </a:prstGeom>
                    <a:noFill/>
                    <a:ln w="9525">
                      <a:noFill/>
                      <a:headEnd/>
                      <a:tailEnd/>
                    </a:ln>
                  </pic:spPr>
                </pic:pic>
              </a:graphicData>
            </a:graphic>
          </wp:inline>
        </w:drawing>
      </w:r>
    </w:p>
    <w:p>
      <w:pPr>
        <w:pStyle w:val="ImageCaption"/>
      </w:pPr>
      <w:r>
        <w:rPr>
          <w:bCs/>
          <w:b/>
        </w:rPr>
        <w:t xml:space="preserve">Graf 4</w:t>
      </w:r>
      <w:r>
        <w:t xml:space="preserve"> </w:t>
      </w:r>
      <w:r>
        <w:t xml:space="preserve">Národní a ESIF výdaje dle skupin</w:t>
      </w:r>
    </w:p>
    <w:p>
      <w:pPr>
        <w:pStyle w:val="BodyText"/>
      </w:pPr>
      <w:r>
        <w:t xml:space="preserve">Podrobnější pohled na roli ESI fondů poskytuje graf</w:t>
      </w:r>
      <w:r>
        <w:t xml:space="preserve"> </w:t>
      </w:r>
      <w:r>
        <w:t xml:space="preserve">5</w:t>
      </w:r>
      <w:r>
        <w:t xml:space="preserve">, který zobrazuje podíl ESI fondů na běžných a kapitálových výdajích v jednotlivých skupinách.</w:t>
      </w:r>
      <w:r>
        <w:t xml:space="preserve"> </w:t>
      </w:r>
      <w:r>
        <w:t xml:space="preserve">Ve všech skupinách hrají ESI fondy větší roli v kapitálových výdajích než v běžných.</w:t>
      </w:r>
      <w:r>
        <w:t xml:space="preserve"> </w:t>
      </w:r>
      <w:r>
        <w:t xml:space="preserve">Obzvláště významný podíl na kapitálových výdajích po celé sledované období tvoří u skupin</w:t>
      </w:r>
      <w:r>
        <w:t xml:space="preserve"> </w:t>
      </w:r>
      <w:r>
        <w:rPr>
          <w:iCs/>
          <w:i/>
        </w:rPr>
        <w:t xml:space="preserve">Průmyslová a ostatní odvětví…</w:t>
      </w:r>
      <w:r>
        <w:t xml:space="preserve">,</w:t>
      </w:r>
      <w:r>
        <w:t xml:space="preserve"> </w:t>
      </w:r>
      <w:r>
        <w:rPr>
          <w:iCs/>
          <w:i/>
        </w:rPr>
        <w:t xml:space="preserve">Služby pro obyvatelstvo</w:t>
      </w:r>
      <w:r>
        <w:t xml:space="preserve"> </w:t>
      </w:r>
      <w:r>
        <w:t xml:space="preserve">a</w:t>
      </w:r>
      <w:r>
        <w:t xml:space="preserve"> </w:t>
      </w:r>
      <w:r>
        <w:rPr>
          <w:iCs/>
          <w:i/>
        </w:rPr>
        <w:t xml:space="preserve">Zemědělství…</w:t>
      </w:r>
      <w:r>
        <w:t xml:space="preserve">. V poslední jmenované skupině pak ESI fondy pokrývají i kolem 20 % běžných výdajů.</w:t>
      </w:r>
    </w:p>
    <w:p>
      <w:pPr>
        <w:pStyle w:val="CaptionedFigure"/>
      </w:pPr>
      <w:r>
        <w:drawing>
          <wp:inline>
            <wp:extent cx="5613400" cy="3450860"/>
            <wp:effectExtent b="0" l="0" r="0" t="0"/>
            <wp:docPr descr="Graf 5 Podíl ESI fondů na výdajích podle skupin" title="" id="40" name="Picture"/>
            <a:graphic>
              <a:graphicData uri="http://schemas.openxmlformats.org/drawingml/2006/picture">
                <pic:pic>
                  <pic:nvPicPr>
                    <pic:cNvPr descr="s_analyza_files/figure-docx/plot-skup-podil-1.png" id="41" name="Picture"/>
                    <pic:cNvPicPr>
                      <a:picLocks noChangeArrowheads="1" noChangeAspect="1"/>
                    </pic:cNvPicPr>
                  </pic:nvPicPr>
                  <pic:blipFill>
                    <a:blip r:embed="rId39"/>
                    <a:stretch>
                      <a:fillRect/>
                    </a:stretch>
                  </pic:blipFill>
                  <pic:spPr bwMode="auto">
                    <a:xfrm>
                      <a:off x="0" y="0"/>
                      <a:ext cx="5613400" cy="3450860"/>
                    </a:xfrm>
                    <a:prstGeom prst="rect">
                      <a:avLst/>
                    </a:prstGeom>
                    <a:noFill/>
                    <a:ln w="9525">
                      <a:noFill/>
                      <a:headEnd/>
                      <a:tailEnd/>
                    </a:ln>
                  </pic:spPr>
                </pic:pic>
              </a:graphicData>
            </a:graphic>
          </wp:inline>
        </w:drawing>
      </w:r>
    </w:p>
    <w:p>
      <w:pPr>
        <w:pStyle w:val="ImageCaption"/>
      </w:pPr>
      <w:r>
        <w:rPr>
          <w:bCs/>
          <w:b/>
        </w:rPr>
        <w:t xml:space="preserve">Graf 5</w:t>
      </w:r>
      <w:r>
        <w:t xml:space="preserve"> </w:t>
      </w:r>
      <w:r>
        <w:t xml:space="preserve">Podíl ESI fondů na výdajích podle skupin</w:t>
      </w:r>
    </w:p>
    <w:bookmarkEnd w:id="42"/>
    <w:bookmarkStart w:id="66" w:name="oddíly"/>
    <w:p>
      <w:pPr>
        <w:pStyle w:val="Heading2"/>
      </w:pPr>
      <w:r>
        <w:t xml:space="preserve">Oddíly</w:t>
      </w:r>
    </w:p>
    <w:p>
      <w:pPr>
        <w:pStyle w:val="FirstParagraph"/>
      </w:pPr>
      <w:r>
        <w:t xml:space="preserve">V této části pracujeme s o stupeň jemnějším členěním, s oddíly odvětvového třídění.</w:t>
      </w:r>
      <w:r>
        <w:t xml:space="preserve"> </w:t>
      </w:r>
      <w:r>
        <w:t xml:space="preserve">Protože se tato úroveň detailu ukazuje jako nejvhodnější pro přehledové znázornění role ESI fondů napříč oblastmi veřejných politik, nejdříve analyzujeme průměrné podíly ESI fondů v letech 2017-2020. (Rok 2015 totiž odráží dočerpávání období 2007-13 a v roce 2016 se ještě plně nerozběhly některé operační programy pro období 2014-20.)</w:t>
      </w:r>
    </w:p>
    <w:bookmarkStart w:id="49" w:name="přehled"/>
    <w:p>
      <w:pPr>
        <w:pStyle w:val="Heading3"/>
      </w:pPr>
      <w:r>
        <w:t xml:space="preserve">Přehled</w:t>
      </w:r>
    </w:p>
    <w:p>
      <w:pPr>
        <w:pStyle w:val="FirstParagraph"/>
      </w:pPr>
      <w:r>
        <w:t xml:space="preserve">Jak ukazuje graf</w:t>
      </w:r>
      <w:r>
        <w:t xml:space="preserve"> </w:t>
      </w:r>
      <w:r>
        <w:t xml:space="preserve">6</w:t>
      </w:r>
      <w:r>
        <w:t xml:space="preserve">, ve třech oddílech tvořily ESI fondy průměrně více než 50 % výdajů:</w:t>
      </w:r>
      <w:r>
        <w:t xml:space="preserve"> </w:t>
      </w:r>
      <w:r>
        <w:rPr>
          <w:iCs/>
          <w:i/>
        </w:rPr>
        <w:t xml:space="preserve">Bydlení, komunální služby a územní rozvoj</w:t>
      </w:r>
      <w:r>
        <w:t xml:space="preserve">,</w:t>
      </w:r>
      <w:r>
        <w:t xml:space="preserve"> </w:t>
      </w:r>
      <w:r>
        <w:rPr>
          <w:iCs/>
          <w:i/>
        </w:rPr>
        <w:t xml:space="preserve">Vodní hospodářství a ochrana životního prostředí</w:t>
      </w:r>
      <w:r>
        <w:t xml:space="preserve">. Všechny tyto oblasti jsou dominantně kapitálové a právě v kapitálových výdajích je role ESIF výrazná. V zemědělství a podpoře průmyslu a podnikání pak tvoří ESIF 25 % a více výdajů, mezi kapitálovými výdaji v těchto oddílech vždy před 50 %. ESIF též financovaly přes třetinu kapitálových výdajů v dopravě a vzdělávání, téměř polovinu ve zdravotnictví, a přes polovinu v ostatním výzkumu a vývoji (tj. výzkum mimo VŠ). (100 % u kapitálových výdajů politiky zaměstnanosti se týká výdajů v řádu milionů korun).</w:t>
      </w:r>
    </w:p>
    <w:p>
      <w:pPr>
        <w:pStyle w:val="BodyText"/>
      </w:pPr>
      <w:r>
        <w:t xml:space="preserve">V běžných výdajích je role ESIF obecně menší, ale výrazně patrná je role ESIF v oddílech</w:t>
      </w:r>
      <w:r>
        <w:t xml:space="preserve"> </w:t>
      </w:r>
      <w:r>
        <w:rPr>
          <w:iCs/>
          <w:i/>
        </w:rPr>
        <w:t xml:space="preserve">Bydlení, komunální služby a územní rozvoj</w:t>
      </w:r>
      <w:r>
        <w:t xml:space="preserve"> </w:t>
      </w:r>
      <w:r>
        <w:t xml:space="preserve">(v tom jediném překračuje 30 %), ochraně životního prostředí, zemědělství, ale i sociálních službách (všude přes 15 %).</w:t>
      </w:r>
    </w:p>
    <w:p>
      <w:pPr>
        <w:pStyle w:val="CaptionedFigure"/>
      </w:pPr>
      <w:r>
        <w:drawing>
          <wp:inline>
            <wp:extent cx="5613400" cy="5176290"/>
            <wp:effectExtent b="0" l="0" r="0" t="0"/>
            <wp:docPr descr="Graf 6 Podíl ESIF na výdajích podle oddílů" title="" id="44" name="Picture"/>
            <a:graphic>
              <a:graphicData uri="http://schemas.openxmlformats.org/drawingml/2006/picture">
                <pic:pic>
                  <pic:nvPicPr>
                    <pic:cNvPr descr="s_analyza_files/figure-docx/plot-oddily-prehled-1.png" id="45" name="Picture"/>
                    <pic:cNvPicPr>
                      <a:picLocks noChangeArrowheads="1" noChangeAspect="1"/>
                    </pic:cNvPicPr>
                  </pic:nvPicPr>
                  <pic:blipFill>
                    <a:blip r:embed="rId43"/>
                    <a:stretch>
                      <a:fillRect/>
                    </a:stretch>
                  </pic:blipFill>
                  <pic:spPr bwMode="auto">
                    <a:xfrm>
                      <a:off x="0" y="0"/>
                      <a:ext cx="5613400" cy="5176290"/>
                    </a:xfrm>
                    <a:prstGeom prst="rect">
                      <a:avLst/>
                    </a:prstGeom>
                    <a:noFill/>
                    <a:ln w="9525">
                      <a:noFill/>
                      <a:headEnd/>
                      <a:tailEnd/>
                    </a:ln>
                  </pic:spPr>
                </pic:pic>
              </a:graphicData>
            </a:graphic>
          </wp:inline>
        </w:drawing>
      </w:r>
    </w:p>
    <w:p>
      <w:pPr>
        <w:pStyle w:val="ImageCaption"/>
      </w:pPr>
      <w:r>
        <w:rPr>
          <w:bCs/>
          <w:b/>
        </w:rPr>
        <w:t xml:space="preserve">Graf 6</w:t>
      </w:r>
      <w:r>
        <w:t xml:space="preserve"> </w:t>
      </w:r>
      <w:r>
        <w:t xml:space="preserve">Podíl ESIF na výdajích podle oddílů</w:t>
      </w:r>
    </w:p>
    <w:p>
      <w:pPr>
        <w:pStyle w:val="BodyText"/>
      </w:pPr>
      <w:r>
        <w:t xml:space="preserve">O něco komplexnější náhled na roli ESI fondů ukazuje graf</w:t>
      </w:r>
      <w:r>
        <w:t xml:space="preserve"> </w:t>
      </w:r>
      <w:r>
        <w:t xml:space="preserve">7</w:t>
      </w:r>
      <w:r>
        <w:t xml:space="preserve">, který oproti předchozímu grafu zobrazuje i finanční objem výdajových oddílů a podíl kapitálových výdajů na daném oddílu. V grafu je v pravé horní části patrných několik oddílů s vysokým podílem kapitálových výdajů a zároveň silnou rolí ESIF.</w:t>
      </w:r>
    </w:p>
    <w:p>
      <w:pPr>
        <w:pStyle w:val="CaptionedFigure"/>
      </w:pPr>
      <w:r>
        <w:drawing>
          <wp:inline>
            <wp:extent cx="2997030" cy="3669832"/>
            <wp:effectExtent b="0" l="0" r="0" t="0"/>
            <wp:docPr descr="Graf 7 Podíl ESIF a kapitálových výdajů v oddílech SR" title="" id="47" name="Picture"/>
            <a:graphic>
              <a:graphicData uri="http://schemas.openxmlformats.org/drawingml/2006/picture">
                <pic:pic>
                  <pic:nvPicPr>
                    <pic:cNvPr descr="s_analyza_files/figure-docx/plot-prehled-scatter-1.png" id="48" name="Picture"/>
                    <pic:cNvPicPr>
                      <a:picLocks noChangeArrowheads="1" noChangeAspect="1"/>
                    </pic:cNvPicPr>
                  </pic:nvPicPr>
                  <pic:blipFill>
                    <a:blip r:embed="rId46"/>
                    <a:stretch>
                      <a:fillRect/>
                    </a:stretch>
                  </pic:blipFill>
                  <pic:spPr bwMode="auto">
                    <a:xfrm>
                      <a:off x="0" y="0"/>
                      <a:ext cx="2997030" cy="3669832"/>
                    </a:xfrm>
                    <a:prstGeom prst="rect">
                      <a:avLst/>
                    </a:prstGeom>
                    <a:noFill/>
                    <a:ln w="9525">
                      <a:noFill/>
                      <a:headEnd/>
                      <a:tailEnd/>
                    </a:ln>
                  </pic:spPr>
                </pic:pic>
              </a:graphicData>
            </a:graphic>
          </wp:inline>
        </w:drawing>
      </w:r>
    </w:p>
    <w:p>
      <w:pPr>
        <w:pStyle w:val="ImageCaption"/>
      </w:pPr>
      <w:r>
        <w:rPr>
          <w:bCs/>
          <w:b/>
        </w:rPr>
        <w:t xml:space="preserve">Graf 7</w:t>
      </w:r>
      <w:r>
        <w:t xml:space="preserve"> </w:t>
      </w:r>
      <w:r>
        <w:t xml:space="preserve">Podíl ESIF a kapitálových výdajů v oddílech SR</w:t>
      </w:r>
    </w:p>
    <w:bookmarkEnd w:id="49"/>
    <w:bookmarkStart w:id="65" w:name="vývoj-v-čase"/>
    <w:p>
      <w:pPr>
        <w:pStyle w:val="Heading3"/>
      </w:pPr>
      <w:r>
        <w:t xml:space="preserve">Vývoj v čase</w:t>
      </w:r>
    </w:p>
    <w:p>
      <w:pPr>
        <w:pStyle w:val="FirstParagraph"/>
      </w:pPr>
      <w:r>
        <w:t xml:space="preserve">Graf</w:t>
      </w:r>
      <w:r>
        <w:t xml:space="preserve"> </w:t>
      </w:r>
      <w:r>
        <w:t xml:space="preserve">8</w:t>
      </w:r>
      <w:r>
        <w:t xml:space="preserve"> </w:t>
      </w:r>
      <w:r>
        <w:t xml:space="preserve">ukazuje celkový přehled, tj. vývoj výdajů v čase pro všechny oddíly. Pro lepší čitelnost ale v dalším textu pracujeme zvlášť se skupinami oddílů podle objemu a zvlášť s běžnými a kapitálovými výdaji.</w:t>
      </w:r>
    </w:p>
    <w:p>
      <w:pPr>
        <w:pStyle w:val="CaptionedFigure"/>
      </w:pPr>
      <w:r>
        <w:drawing>
          <wp:inline>
            <wp:extent cx="5613400" cy="5176290"/>
            <wp:effectExtent b="0" l="0" r="0" t="0"/>
            <wp:docPr descr="Graf 8 Výdaje vlastní a z ESI fondů podle oddílů" title="" id="51" name="Picture"/>
            <a:graphic>
              <a:graphicData uri="http://schemas.openxmlformats.org/drawingml/2006/picture">
                <pic:pic>
                  <pic:nvPicPr>
                    <pic:cNvPr descr="s_analyza_files/figure-docx/plot-oddil-abs-1.png" id="52" name="Picture"/>
                    <pic:cNvPicPr>
                      <a:picLocks noChangeArrowheads="1" noChangeAspect="1"/>
                    </pic:cNvPicPr>
                  </pic:nvPicPr>
                  <pic:blipFill>
                    <a:blip r:embed="rId50"/>
                    <a:stretch>
                      <a:fillRect/>
                    </a:stretch>
                  </pic:blipFill>
                  <pic:spPr bwMode="auto">
                    <a:xfrm>
                      <a:off x="0" y="0"/>
                      <a:ext cx="5613400" cy="5176290"/>
                    </a:xfrm>
                    <a:prstGeom prst="rect">
                      <a:avLst/>
                    </a:prstGeom>
                    <a:noFill/>
                    <a:ln w="9525">
                      <a:noFill/>
                      <a:headEnd/>
                      <a:tailEnd/>
                    </a:ln>
                  </pic:spPr>
                </pic:pic>
              </a:graphicData>
            </a:graphic>
          </wp:inline>
        </w:drawing>
      </w:r>
    </w:p>
    <w:p>
      <w:pPr>
        <w:pStyle w:val="ImageCaption"/>
      </w:pPr>
      <w:r>
        <w:rPr>
          <w:bCs/>
          <w:b/>
        </w:rPr>
        <w:t xml:space="preserve">Graf 8</w:t>
      </w:r>
      <w:r>
        <w:t xml:space="preserve"> </w:t>
      </w:r>
      <w:r>
        <w:t xml:space="preserve">Výdaje vlastní a z ESI fondů podle oddílů</w:t>
      </w:r>
    </w:p>
    <w:p>
      <w:pPr>
        <w:pStyle w:val="BodyText"/>
      </w:pPr>
      <w:r>
        <w:t xml:space="preserve">Jak jsme poznamenali výše, mezi oddíly s největším objemem</w:t>
      </w:r>
      <w:r>
        <w:t xml:space="preserve"> </w:t>
      </w:r>
      <w:r>
        <w:rPr>
          <w:bCs/>
          <w:b/>
        </w:rPr>
        <w:t xml:space="preserve">kapitálových výdajů</w:t>
      </w:r>
      <w:r>
        <w:t xml:space="preserve"> </w:t>
      </w:r>
      <w:r>
        <w:t xml:space="preserve">patří</w:t>
      </w:r>
      <w:r>
        <w:t xml:space="preserve"> </w:t>
      </w:r>
      <w:r>
        <w:rPr>
          <w:iCs/>
          <w:i/>
        </w:rPr>
        <w:t xml:space="preserve">Doprava</w:t>
      </w:r>
      <w:r>
        <w:t xml:space="preserve"> </w:t>
      </w:r>
      <w:r>
        <w:t xml:space="preserve">a</w:t>
      </w:r>
      <w:r>
        <w:t xml:space="preserve"> </w:t>
      </w:r>
      <w:r>
        <w:rPr>
          <w:iCs/>
          <w:i/>
        </w:rPr>
        <w:t xml:space="preserve">Bydlení, komunální služby a územní rozvoj</w:t>
      </w:r>
      <w:r>
        <w:t xml:space="preserve"> </w:t>
      </w:r>
      <w:r>
        <w:t xml:space="preserve">(viz graf</w:t>
      </w:r>
      <w:r>
        <w:t xml:space="preserve"> </w:t>
      </w:r>
      <w:r>
        <w:t xml:space="preserve">9</w:t>
      </w:r>
      <w:r>
        <w:t xml:space="preserve">).V těchto i dalších větších oddílech hrají ESI fondy významnou roli. Z hlediska vývoje v čase stojí za pozornost oddíl</w:t>
      </w:r>
      <w:r>
        <w:t xml:space="preserve"> </w:t>
      </w:r>
      <w:r>
        <w:rPr>
          <w:iCs/>
          <w:i/>
        </w:rPr>
        <w:t xml:space="preserve">Bydlení…</w:t>
      </w:r>
      <w:r>
        <w:t xml:space="preserve">, kde je nárůst celkového objemu tažený ESI fondy v podstatě návratem na stav v předchozím programovém období. Podobný je vývoj v oblasti vodního hospodářství, kde nárůst přichází dominantně z ESIF. Naopak v dopravě je nárůst kapitálových výdajů tažen především národními zdroji, čímž se podíl ESIF v čase snižuje. Ve vzdělávání a školských službách hrají ESI fondy od roku 2018 silnější roli, a to i oproti roku 2015, přičemž ale rostou i kapitálové výdaje z národních zdrojů.</w:t>
      </w:r>
    </w:p>
    <w:p>
      <w:pPr>
        <w:pStyle w:val="CaptionedFigure"/>
      </w:pPr>
      <w:r>
        <w:drawing>
          <wp:inline>
            <wp:extent cx="5613400" cy="3450860"/>
            <wp:effectExtent b="0" l="0" r="0" t="0"/>
            <wp:docPr descr="Graf 9 Kapitálové výdaje vlastní a z ESI fondů podle oddílů" title="" id="54" name="Picture"/>
            <a:graphic>
              <a:graphicData uri="http://schemas.openxmlformats.org/drawingml/2006/picture">
                <pic:pic>
                  <pic:nvPicPr>
                    <pic:cNvPr descr="s_analyza_files/figure-docx/plot-oddil-kap-1.png" id="55" name="Picture"/>
                    <pic:cNvPicPr>
                      <a:picLocks noChangeArrowheads="1" noChangeAspect="1"/>
                    </pic:cNvPicPr>
                  </pic:nvPicPr>
                  <pic:blipFill>
                    <a:blip r:embed="rId53"/>
                    <a:stretch>
                      <a:fillRect/>
                    </a:stretch>
                  </pic:blipFill>
                  <pic:spPr bwMode="auto">
                    <a:xfrm>
                      <a:off x="0" y="0"/>
                      <a:ext cx="5613400" cy="3450860"/>
                    </a:xfrm>
                    <a:prstGeom prst="rect">
                      <a:avLst/>
                    </a:prstGeom>
                    <a:noFill/>
                    <a:ln w="9525">
                      <a:noFill/>
                      <a:headEnd/>
                      <a:tailEnd/>
                    </a:ln>
                  </pic:spPr>
                </pic:pic>
              </a:graphicData>
            </a:graphic>
          </wp:inline>
        </w:drawing>
      </w:r>
    </w:p>
    <w:p>
      <w:pPr>
        <w:pStyle w:val="ImageCaption"/>
      </w:pPr>
      <w:r>
        <w:rPr>
          <w:bCs/>
          <w:b/>
        </w:rPr>
        <w:t xml:space="preserve">Graf 9</w:t>
      </w:r>
      <w:r>
        <w:t xml:space="preserve"> </w:t>
      </w:r>
      <w:r>
        <w:t xml:space="preserve">Kapitálové výdaje vlastní a z ESI fondů podle oddílů</w:t>
      </w:r>
    </w:p>
    <w:p>
      <w:pPr>
        <w:pStyle w:val="BodyText"/>
      </w:pPr>
      <w:r>
        <w:t xml:space="preserve">U</w:t>
      </w:r>
      <w:r>
        <w:t xml:space="preserve"> </w:t>
      </w:r>
      <w:r>
        <w:rPr>
          <w:bCs/>
          <w:b/>
        </w:rPr>
        <w:t xml:space="preserve">běžných výdajů</w:t>
      </w:r>
      <w:r>
        <w:t xml:space="preserve"> </w:t>
      </w:r>
      <w:r>
        <w:t xml:space="preserve">analyzujeme zvlášť finančně objemnější oddíly a oddíly méně objemné.</w:t>
      </w:r>
    </w:p>
    <w:p>
      <w:pPr>
        <w:pStyle w:val="BodyText"/>
      </w:pPr>
      <w:r>
        <w:t xml:space="preserve">Graf</w:t>
      </w:r>
      <w:r>
        <w:t xml:space="preserve"> </w:t>
      </w:r>
      <w:r>
        <w:t xml:space="preserve">10</w:t>
      </w:r>
      <w:r>
        <w:t xml:space="preserve"> </w:t>
      </w:r>
      <w:r>
        <w:t xml:space="preserve">níže ukazuje výdaje v jednotlivých oddílech s objemem běžných výdajů do 100 miliard Kč. Za pozornost zde stojí oddíly</w:t>
      </w:r>
      <w:r>
        <w:t xml:space="preserve"> </w:t>
      </w:r>
      <w:r>
        <w:rPr>
          <w:iCs/>
          <w:i/>
        </w:rPr>
        <w:t xml:space="preserve">Politika zaměstnanosti</w:t>
      </w:r>
      <w:r>
        <w:t xml:space="preserve"> </w:t>
      </w:r>
      <w:r>
        <w:t xml:space="preserve">a</w:t>
      </w:r>
      <w:r>
        <w:t xml:space="preserve"> </w:t>
      </w:r>
      <w:r>
        <w:rPr>
          <w:iCs/>
          <w:i/>
        </w:rPr>
        <w:t xml:space="preserve">Průmysl…</w:t>
      </w:r>
      <w:r>
        <w:t xml:space="preserve">, kde jsou v roce 2020 patrné výdaje na opatření spojená s pandemií Covid-19. V obou případech rostly národní i ESIF výdaje. Těmto oblastem se dále věnujeme v</w:t>
      </w:r>
      <w:r>
        <w:t xml:space="preserve"> </w:t>
      </w:r>
      <w:hyperlink w:anchor="tematicke">
        <w:r>
          <w:rPr>
            <w:rStyle w:val="Hyperlink"/>
          </w:rPr>
          <w:t xml:space="preserve">tematických analýzách níže</w:t>
        </w:r>
      </w:hyperlink>
      <w:r>
        <w:t xml:space="preserve">.</w:t>
      </w:r>
    </w:p>
    <w:p>
      <w:pPr>
        <w:pStyle w:val="CaptionedFigure"/>
      </w:pPr>
      <w:r>
        <w:drawing>
          <wp:inline>
            <wp:extent cx="5613400" cy="4313575"/>
            <wp:effectExtent b="0" l="0" r="0" t="0"/>
            <wp:docPr descr="Graf 10 Běžné výdaje vlastní a z ESI fondů podle oddílů" title="" id="57" name="Picture"/>
            <a:graphic>
              <a:graphicData uri="http://schemas.openxmlformats.org/drawingml/2006/picture">
                <pic:pic>
                  <pic:nvPicPr>
                    <pic:cNvPr descr="s_analyza_files/figure-docx/plot-bezne-pod100-1.png" id="58" name="Picture"/>
                    <pic:cNvPicPr>
                      <a:picLocks noChangeArrowheads="1" noChangeAspect="1"/>
                    </pic:cNvPicPr>
                  </pic:nvPicPr>
                  <pic:blipFill>
                    <a:blip r:embed="rId56"/>
                    <a:stretch>
                      <a:fillRect/>
                    </a:stretch>
                  </pic:blipFill>
                  <pic:spPr bwMode="auto">
                    <a:xfrm>
                      <a:off x="0" y="0"/>
                      <a:ext cx="5613400" cy="4313575"/>
                    </a:xfrm>
                    <a:prstGeom prst="rect">
                      <a:avLst/>
                    </a:prstGeom>
                    <a:noFill/>
                    <a:ln w="9525">
                      <a:noFill/>
                      <a:headEnd/>
                      <a:tailEnd/>
                    </a:ln>
                  </pic:spPr>
                </pic:pic>
              </a:graphicData>
            </a:graphic>
          </wp:inline>
        </w:drawing>
      </w:r>
    </w:p>
    <w:p>
      <w:pPr>
        <w:pStyle w:val="ImageCaption"/>
      </w:pPr>
      <w:r>
        <w:rPr>
          <w:bCs/>
          <w:b/>
        </w:rPr>
        <w:t xml:space="preserve">Graf 10</w:t>
      </w:r>
      <w:r>
        <w:t xml:space="preserve"> </w:t>
      </w:r>
      <w:r>
        <w:t xml:space="preserve">Běžné výdaje vlastní a z ESI fondů podle oddílů</w:t>
      </w:r>
    </w:p>
    <w:p>
      <w:pPr>
        <w:pStyle w:val="BodyText"/>
      </w:pPr>
      <w:r>
        <w:t xml:space="preserve">Z grafu</w:t>
      </w:r>
      <w:r>
        <w:t xml:space="preserve"> </w:t>
      </w:r>
      <w:r>
        <w:t xml:space="preserve">11</w:t>
      </w:r>
      <w:r>
        <w:t xml:space="preserve"> </w:t>
      </w:r>
      <w:r>
        <w:t xml:space="preserve">je pak patrné, že v oddílech s objemem nad 100 mld. Kč běžných výdajů nehrají ESI fondy téměř žádnou roli - především proto, že se jedná o velké dávkové (např. důchody) nebo blokové transfery (např. financování regionálního školství). Výjimkou je v malé míře vzdělávání, kde podíl ESI fondů i na běžných výdajích v posledních letech mírně narostl, ale zůstává nízký.</w:t>
      </w:r>
    </w:p>
    <w:p>
      <w:pPr>
        <w:pStyle w:val="CaptionedFigure"/>
      </w:pPr>
      <w:r>
        <w:drawing>
          <wp:inline>
            <wp:extent cx="5613400" cy="2588145"/>
            <wp:effectExtent b="0" l="0" r="0" t="0"/>
            <wp:docPr descr="Graf 11 Běžné výdaje vlastní a z ESI fondů podle oddílů" title="" id="60" name="Picture"/>
            <a:graphic>
              <a:graphicData uri="http://schemas.openxmlformats.org/drawingml/2006/picture">
                <pic:pic>
                  <pic:nvPicPr>
                    <pic:cNvPr descr="s_analyza_files/figure-docx/plot-bezne-nad100-1.png" id="61" name="Picture"/>
                    <pic:cNvPicPr>
                      <a:picLocks noChangeArrowheads="1" noChangeAspect="1"/>
                    </pic:cNvPicPr>
                  </pic:nvPicPr>
                  <pic:blipFill>
                    <a:blip r:embed="rId59"/>
                    <a:stretch>
                      <a:fillRect/>
                    </a:stretch>
                  </pic:blipFill>
                  <pic:spPr bwMode="auto">
                    <a:xfrm>
                      <a:off x="0" y="0"/>
                      <a:ext cx="5613400" cy="2588145"/>
                    </a:xfrm>
                    <a:prstGeom prst="rect">
                      <a:avLst/>
                    </a:prstGeom>
                    <a:noFill/>
                    <a:ln w="9525">
                      <a:noFill/>
                      <a:headEnd/>
                      <a:tailEnd/>
                    </a:ln>
                  </pic:spPr>
                </pic:pic>
              </a:graphicData>
            </a:graphic>
          </wp:inline>
        </w:drawing>
      </w:r>
    </w:p>
    <w:p>
      <w:pPr>
        <w:pStyle w:val="ImageCaption"/>
      </w:pPr>
      <w:r>
        <w:rPr>
          <w:bCs/>
          <w:b/>
        </w:rPr>
        <w:t xml:space="preserve">Graf 11</w:t>
      </w:r>
      <w:r>
        <w:t xml:space="preserve"> </w:t>
      </w:r>
      <w:r>
        <w:t xml:space="preserve">Běžné výdaje vlastní a z ESI fondů podle oddílů</w:t>
      </w:r>
    </w:p>
    <w:p>
      <w:pPr>
        <w:pStyle w:val="BodyText"/>
      </w:pPr>
      <w:r>
        <w:t xml:space="preserve">Graf</w:t>
      </w:r>
      <w:r>
        <w:t xml:space="preserve"> </w:t>
      </w:r>
      <w:r>
        <w:t xml:space="preserve">12</w:t>
      </w:r>
      <w:r>
        <w:t xml:space="preserve"> </w:t>
      </w:r>
      <w:r>
        <w:t xml:space="preserve">pak ukazuje podíly ESI fondů na běžných a kapitálových výdajích. Výrazné trendy jsou patrné u oddílu</w:t>
      </w:r>
      <w:r>
        <w:t xml:space="preserve"> </w:t>
      </w:r>
      <w:r>
        <w:rPr>
          <w:iCs/>
          <w:i/>
        </w:rPr>
        <w:t xml:space="preserve">Doprava</w:t>
      </w:r>
      <w:r>
        <w:t xml:space="preserve"> </w:t>
      </w:r>
      <w:r>
        <w:t xml:space="preserve">a</w:t>
      </w:r>
      <w:r>
        <w:t xml:space="preserve"> </w:t>
      </w:r>
      <w:r>
        <w:rPr>
          <w:iCs/>
          <w:i/>
        </w:rPr>
        <w:t xml:space="preserve">Ostatní výzkum a vývoj</w:t>
      </w:r>
      <w:r>
        <w:t xml:space="preserve"> </w:t>
      </w:r>
      <w:r>
        <w:t xml:space="preserve">(který zahrnuje výzkum a vývoj mimo MŠ), u nichž podíl ESIF na kapitálových výdajích v posledních letech spíše klesá. U dopravy ale podíl ESIF zůstává na cca 30 % a u ostatního výzkumu a vývoje na cca 50 %. Naopak v oddíle</w:t>
      </w:r>
      <w:r>
        <w:t xml:space="preserve"> </w:t>
      </w:r>
      <w:r>
        <w:rPr>
          <w:iCs/>
          <w:i/>
        </w:rPr>
        <w:t xml:space="preserve">Bydlení, komunální služby a územní rozvoj</w:t>
      </w:r>
      <w:r>
        <w:t xml:space="preserve"> </w:t>
      </w:r>
      <w:r>
        <w:t xml:space="preserve">od začátku období výrazně narostl podíl ESIF na běžných výdajích podíl ESIF na kapitálových výdajích byl setrvale vysoký (přičemž kapitálové v oddílu převažují.) Za povšimnutí stojí i postupný pokles podílu ESI fondů na politice zaměstnanosti. Setrvale vysoký je podíl ESIF na kapitálových výdajích v ochraně životního prostředí, vodním hodpodářství, zemědělství a podpoře průmyslu, obchodu a služeb.</w:t>
      </w:r>
    </w:p>
    <w:p>
      <w:pPr>
        <w:pStyle w:val="CaptionedFigure"/>
      </w:pPr>
      <w:r>
        <w:drawing>
          <wp:inline>
            <wp:extent cx="5613400" cy="5176290"/>
            <wp:effectExtent b="0" l="0" r="0" t="0"/>
            <wp:docPr descr="Graf 12 Podíl ESI fondů na výdajích podle rozpočtových oddílů" title="" id="63" name="Picture"/>
            <a:graphic>
              <a:graphicData uri="http://schemas.openxmlformats.org/drawingml/2006/picture">
                <pic:pic>
                  <pic:nvPicPr>
                    <pic:cNvPr descr="s_analyza_files/figure-docx/plot-oddil-podil-1.png" id="64" name="Picture"/>
                    <pic:cNvPicPr>
                      <a:picLocks noChangeArrowheads="1" noChangeAspect="1"/>
                    </pic:cNvPicPr>
                  </pic:nvPicPr>
                  <pic:blipFill>
                    <a:blip r:embed="rId62"/>
                    <a:stretch>
                      <a:fillRect/>
                    </a:stretch>
                  </pic:blipFill>
                  <pic:spPr bwMode="auto">
                    <a:xfrm>
                      <a:off x="0" y="0"/>
                      <a:ext cx="5613400" cy="5176290"/>
                    </a:xfrm>
                    <a:prstGeom prst="rect">
                      <a:avLst/>
                    </a:prstGeom>
                    <a:noFill/>
                    <a:ln w="9525">
                      <a:noFill/>
                      <a:headEnd/>
                      <a:tailEnd/>
                    </a:ln>
                  </pic:spPr>
                </pic:pic>
              </a:graphicData>
            </a:graphic>
          </wp:inline>
        </w:drawing>
      </w:r>
    </w:p>
    <w:p>
      <w:pPr>
        <w:pStyle w:val="ImageCaption"/>
      </w:pPr>
      <w:r>
        <w:rPr>
          <w:bCs/>
          <w:b/>
        </w:rPr>
        <w:t xml:space="preserve">Graf 12</w:t>
      </w:r>
      <w:r>
        <w:t xml:space="preserve"> </w:t>
      </w:r>
      <w:r>
        <w:t xml:space="preserve">Podíl ESI fondů na výdajích podle rozpočtových oddílů</w:t>
      </w:r>
    </w:p>
    <w:bookmarkEnd w:id="65"/>
    <w:bookmarkEnd w:id="66"/>
    <w:bookmarkEnd w:id="67"/>
    <w:bookmarkStart w:id="107" w:name="tematicke"/>
    <w:p>
      <w:pPr>
        <w:pStyle w:val="Heading1"/>
      </w:pPr>
      <w:r>
        <w:t xml:space="preserve">Tematické analýzy</w:t>
      </w:r>
    </w:p>
    <w:p>
      <w:pPr>
        <w:pStyle w:val="FirstParagraph"/>
      </w:pPr>
      <w:r>
        <w:t xml:space="preserve">V této části se dále zaměřujeme na specifické oblasti veřejných výdajů (identifikované pomocí odvětvového členění rozpočtové skladby), ve kterých předchozí analýza ukázala vysoký podíl ESI fondů nebo jeho dynamický vývoj.</w:t>
      </w:r>
    </w:p>
    <w:bookmarkStart w:id="74" w:name="bydlení-komunální-služby-a-územní-rozvoj"/>
    <w:p>
      <w:pPr>
        <w:pStyle w:val="Heading2"/>
      </w:pPr>
      <w:r>
        <w:t xml:space="preserve">Bydlení, komunální služby a územní rozvoj</w:t>
      </w:r>
    </w:p>
    <w:p>
      <w:pPr>
        <w:pStyle w:val="FirstParagraph"/>
      </w:pPr>
      <w:r>
        <w:t xml:space="preserve">Při pohledu na úroveň pododdílů (</w:t>
      </w:r>
      <w:r>
        <w:t xml:space="preserve">13</w:t>
      </w:r>
      <w:r>
        <w:t xml:space="preserve">) se ukazuje, že dostupná data zde nejsou dostatečně konzistentní na to, aby nám daný rozpad pomohl lépe porozumět vývoji výdajů v této oblasti. Je totiž pravděpodobné, že typově podobné výdaje jsou v různých letech vykazovány v různých pododdílech a nelze tedy usuzovat na skutečné změny v čase.</w:t>
      </w:r>
    </w:p>
    <w:p>
      <w:pPr>
        <w:pStyle w:val="CaptionedFigure"/>
      </w:pPr>
      <w:r>
        <w:drawing>
          <wp:inline>
            <wp:extent cx="5613400" cy="3450860"/>
            <wp:effectExtent b="0" l="0" r="0" t="0"/>
            <wp:docPr descr="Graf 13 Bydlení, komunální služby a územní rozvoj: výdaje podle ESIF a třídy" title="" id="69" name="Picture"/>
            <a:graphic>
              <a:graphicData uri="http://schemas.openxmlformats.org/drawingml/2006/picture">
                <pic:pic>
                  <pic:nvPicPr>
                    <pic:cNvPr descr="s_analyza_files/figure-docx/plot-bydleni-pododdil-1.png" id="70" name="Picture"/>
                    <pic:cNvPicPr>
                      <a:picLocks noChangeArrowheads="1" noChangeAspect="1"/>
                    </pic:cNvPicPr>
                  </pic:nvPicPr>
                  <pic:blipFill>
                    <a:blip r:embed="rId68"/>
                    <a:stretch>
                      <a:fillRect/>
                    </a:stretch>
                  </pic:blipFill>
                  <pic:spPr bwMode="auto">
                    <a:xfrm>
                      <a:off x="0" y="0"/>
                      <a:ext cx="5613400" cy="3450860"/>
                    </a:xfrm>
                    <a:prstGeom prst="rect">
                      <a:avLst/>
                    </a:prstGeom>
                    <a:noFill/>
                    <a:ln w="9525">
                      <a:noFill/>
                      <a:headEnd/>
                      <a:tailEnd/>
                    </a:ln>
                  </pic:spPr>
                </pic:pic>
              </a:graphicData>
            </a:graphic>
          </wp:inline>
        </w:drawing>
      </w:r>
    </w:p>
    <w:p>
      <w:pPr>
        <w:pStyle w:val="ImageCaption"/>
      </w:pPr>
      <w:r>
        <w:rPr>
          <w:bCs/>
          <w:b/>
        </w:rPr>
        <w:t xml:space="preserve">Graf 13</w:t>
      </w:r>
      <w:r>
        <w:t xml:space="preserve"> </w:t>
      </w:r>
      <w:r>
        <w:t xml:space="preserve">Bydlení, komunální služby a územní rozvoj: výdaje podle ESIF a třídy</w:t>
      </w:r>
    </w:p>
    <w:p>
      <w:pPr>
        <w:pStyle w:val="BodyText"/>
      </w:pPr>
      <w:r>
        <w:t xml:space="preserve">Podobně úroveň paragrafu (graf</w:t>
      </w:r>
      <w:r>
        <w:t xml:space="preserve"> </w:t>
      </w:r>
      <w:r>
        <w:t xml:space="preserve">14</w:t>
      </w:r>
      <w:r>
        <w:t xml:space="preserve"> </w:t>
      </w:r>
      <w:r>
        <w:t xml:space="preserve">naznačuje, že velká část výdajů byla v minulosti vykazována v nesprávném nebo přinejmenším obsahově překvapivém paragrafu „Mezinárodní spolupráce“.</w:t>
      </w:r>
    </w:p>
    <w:p>
      <w:pPr>
        <w:pStyle w:val="CaptionedFigure"/>
      </w:pPr>
      <w:r>
        <w:drawing>
          <wp:inline>
            <wp:extent cx="5613400" cy="4313575"/>
            <wp:effectExtent b="0" l="0" r="0" t="0"/>
            <wp:docPr descr="Graf 14 Bydlení, komunální služby a územní rozvoj: výdaje podle ESIF a paragrafu" title="" id="72" name="Picture"/>
            <a:graphic>
              <a:graphicData uri="http://schemas.openxmlformats.org/drawingml/2006/picture">
                <pic:pic>
                  <pic:nvPicPr>
                    <pic:cNvPr descr="s_analyza_files/figure-docx/plot-bydleni-paragraf-1.png" id="73" name="Picture"/>
                    <pic:cNvPicPr>
                      <a:picLocks noChangeArrowheads="1" noChangeAspect="1"/>
                    </pic:cNvPicPr>
                  </pic:nvPicPr>
                  <pic:blipFill>
                    <a:blip r:embed="rId71"/>
                    <a:stretch>
                      <a:fillRect/>
                    </a:stretch>
                  </pic:blipFill>
                  <pic:spPr bwMode="auto">
                    <a:xfrm>
                      <a:off x="0" y="0"/>
                      <a:ext cx="5613400" cy="4313575"/>
                    </a:xfrm>
                    <a:prstGeom prst="rect">
                      <a:avLst/>
                    </a:prstGeom>
                    <a:noFill/>
                    <a:ln w="9525">
                      <a:noFill/>
                      <a:headEnd/>
                      <a:tailEnd/>
                    </a:ln>
                  </pic:spPr>
                </pic:pic>
              </a:graphicData>
            </a:graphic>
          </wp:inline>
        </w:drawing>
      </w:r>
    </w:p>
    <w:p>
      <w:pPr>
        <w:pStyle w:val="ImageCaption"/>
      </w:pPr>
      <w:r>
        <w:rPr>
          <w:bCs/>
          <w:b/>
        </w:rPr>
        <w:t xml:space="preserve">Graf 14</w:t>
      </w:r>
      <w:r>
        <w:t xml:space="preserve"> </w:t>
      </w:r>
      <w:r>
        <w:t xml:space="preserve">Bydlení, komunální služby a územní rozvoj: výdaje podle ESIF a paragrafu</w:t>
      </w:r>
    </w:p>
    <w:bookmarkEnd w:id="74"/>
    <w:bookmarkStart w:id="87" w:name="životní-prostředí-a-související"/>
    <w:p>
      <w:pPr>
        <w:pStyle w:val="Heading2"/>
      </w:pPr>
      <w:r>
        <w:t xml:space="preserve">Životní prostředí a související</w:t>
      </w:r>
    </w:p>
    <w:p>
      <w:pPr>
        <w:pStyle w:val="FirstParagraph"/>
      </w:pPr>
      <w:r>
        <w:t xml:space="preserve">V oblasti životního prostředí rozpad na jemnější úroveň (graf</w:t>
      </w:r>
      <w:r>
        <w:t xml:space="preserve"> </w:t>
      </w:r>
      <w:r>
        <w:t xml:space="preserve">15</w:t>
      </w:r>
      <w:r>
        <w:t xml:space="preserve">) ukazuje na silnou roli ESI fondů ve většině objemově výrazných pododdílů. Téměř výhradně ESI fondy pokrývají výdaje na oblast nakládání s odpady a ochranu ovzduší a klimatu, výraznou roli pak hrají i v ochraně přírody a krajiny.</w:t>
      </w:r>
    </w:p>
    <w:p>
      <w:pPr>
        <w:pStyle w:val="BodyText"/>
      </w:pPr>
      <w:r>
        <w:drawing>
          <wp:inline>
            <wp:extent cx="5613400" cy="3450860"/>
            <wp:effectExtent b="0" l="0" r="0" t="0"/>
            <wp:docPr descr="Graf 15 Životní prostředí: složení výdajů (pododdíly)" title="" id="76" name="Picture"/>
            <a:graphic>
              <a:graphicData uri="http://schemas.openxmlformats.org/drawingml/2006/picture">
                <pic:pic>
                  <pic:nvPicPr>
                    <pic:cNvPr descr="s_analyza_files/figure-docx/plot-zp-all-1.png" id="77" name="Picture"/>
                    <pic:cNvPicPr>
                      <a:picLocks noChangeArrowheads="1" noChangeAspect="1"/>
                    </pic:cNvPicPr>
                  </pic:nvPicPr>
                  <pic:blipFill>
                    <a:blip r:embed="rId75"/>
                    <a:stretch>
                      <a:fillRect/>
                    </a:stretch>
                  </pic:blipFill>
                  <pic:spPr bwMode="auto">
                    <a:xfrm>
                      <a:off x="0" y="0"/>
                      <a:ext cx="5613400" cy="3450860"/>
                    </a:xfrm>
                    <a:prstGeom prst="rect">
                      <a:avLst/>
                    </a:prstGeom>
                    <a:noFill/>
                    <a:ln w="9525">
                      <a:noFill/>
                      <a:headEnd/>
                      <a:tailEnd/>
                    </a:ln>
                  </pic:spPr>
                </pic:pic>
              </a:graphicData>
            </a:graphic>
          </wp:inline>
        </w:drawing>
      </w:r>
      <w:r>
        <w:t xml:space="preserve"> </w:t>
      </w:r>
      <w:r>
        <w:t xml:space="preserve">V oblasti ochrany ovzduší a klimatu je pak patrný nárůst podílů národních prostředků na kapitálové výdaje v roce 2020; jak ukazuje graf</w:t>
      </w:r>
      <w:r>
        <w:t xml:space="preserve"> </w:t>
      </w:r>
      <w:r>
        <w:t xml:space="preserve">16</w:t>
      </w:r>
      <w:r>
        <w:t xml:space="preserve">, týká se tento nárůst výhradně paragrafu</w:t>
      </w:r>
      <w:r>
        <w:t xml:space="preserve"> </w:t>
      </w:r>
      <w:r>
        <w:rPr>
          <w:iCs/>
          <w:i/>
        </w:rPr>
        <w:t xml:space="preserve">Změny technologií vytápění</w:t>
      </w:r>
      <w:r>
        <w:t xml:space="preserve">, tedy zřejmě především tzv. kotlíkových dotací.</w:t>
      </w:r>
    </w:p>
    <w:p>
      <w:pPr>
        <w:pStyle w:val="BodyText"/>
      </w:pPr>
      <w:r>
        <w:drawing>
          <wp:inline>
            <wp:extent cx="5613400" cy="3450860"/>
            <wp:effectExtent b="0" l="0" r="0" t="0"/>
            <wp:docPr descr="Graf 16 Ochrana ovzduší a klimatu: složení výdajů podle paragrafů" title="" id="79" name="Picture"/>
            <a:graphic>
              <a:graphicData uri="http://schemas.openxmlformats.org/drawingml/2006/picture">
                <pic:pic>
                  <pic:nvPicPr>
                    <pic:cNvPr descr="s_analyza_files/figure-docx/plot-zp-vzduch-1.png" id="80" name="Picture"/>
                    <pic:cNvPicPr>
                      <a:picLocks noChangeArrowheads="1" noChangeAspect="1"/>
                    </pic:cNvPicPr>
                  </pic:nvPicPr>
                  <pic:blipFill>
                    <a:blip r:embed="rId78"/>
                    <a:stretch>
                      <a:fillRect/>
                    </a:stretch>
                  </pic:blipFill>
                  <pic:spPr bwMode="auto">
                    <a:xfrm>
                      <a:off x="0" y="0"/>
                      <a:ext cx="5613400" cy="3450860"/>
                    </a:xfrm>
                    <a:prstGeom prst="rect">
                      <a:avLst/>
                    </a:prstGeom>
                    <a:noFill/>
                    <a:ln w="9525">
                      <a:noFill/>
                      <a:headEnd/>
                      <a:tailEnd/>
                    </a:ln>
                  </pic:spPr>
                </pic:pic>
              </a:graphicData>
            </a:graphic>
          </wp:inline>
        </w:drawing>
      </w:r>
      <w:r>
        <w:t xml:space="preserve"> </w:t>
      </w:r>
      <w:r>
        <w:t xml:space="preserve">Podobně jako u ochrany ovzduší jsou i výdaje v oblasti nakládání s odpady dominantně financovány z ESI fondů, a to napříč jednotlivými paragrafy (viz graf</w:t>
      </w:r>
      <w:r>
        <w:t xml:space="preserve"> </w:t>
      </w:r>
      <w:r>
        <w:t xml:space="preserve">17</w:t>
      </w:r>
      <w:r>
        <w:t xml:space="preserve">).</w:t>
      </w:r>
    </w:p>
    <w:p>
      <w:pPr>
        <w:pStyle w:val="BodyText"/>
      </w:pPr>
      <w:r>
        <w:drawing>
          <wp:inline>
            <wp:extent cx="5613400" cy="3450860"/>
            <wp:effectExtent b="0" l="0" r="0" t="0"/>
            <wp:docPr descr="Graf 17 Nakládání s odpady: složení výdajů podle paragrafů" title="" id="82" name="Picture"/>
            <a:graphic>
              <a:graphicData uri="http://schemas.openxmlformats.org/drawingml/2006/picture">
                <pic:pic>
                  <pic:nvPicPr>
                    <pic:cNvPr descr="s_analyza_files/figure-docx/plot-zp-odpady-1.png" id="83" name="Picture"/>
                    <pic:cNvPicPr>
                      <a:picLocks noChangeArrowheads="1" noChangeAspect="1"/>
                    </pic:cNvPicPr>
                  </pic:nvPicPr>
                  <pic:blipFill>
                    <a:blip r:embed="rId81"/>
                    <a:stretch>
                      <a:fillRect/>
                    </a:stretch>
                  </pic:blipFill>
                  <pic:spPr bwMode="auto">
                    <a:xfrm>
                      <a:off x="0" y="0"/>
                      <a:ext cx="5613400" cy="3450860"/>
                    </a:xfrm>
                    <a:prstGeom prst="rect">
                      <a:avLst/>
                    </a:prstGeom>
                    <a:noFill/>
                    <a:ln w="9525">
                      <a:noFill/>
                      <a:headEnd/>
                      <a:tailEnd/>
                    </a:ln>
                  </pic:spPr>
                </pic:pic>
              </a:graphicData>
            </a:graphic>
          </wp:inline>
        </w:drawing>
      </w:r>
      <w:r>
        <w:t xml:space="preserve"> </w:t>
      </w:r>
      <w:r>
        <w:t xml:space="preserve">Rozmanitější je obrázek v oblasti ochrany přírody a krajiny: ve většině paragrafů nejsou ESI fondy významné, tvoří ale téměř veškeré kapitálové výdaje a většinu běžných výdajů v ochraně druhů a stanovišť, též cca třetinu výdajů v paragrafu</w:t>
      </w:r>
      <w:r>
        <w:t xml:space="preserve"> </w:t>
      </w:r>
      <w:r>
        <w:rPr>
          <w:iCs/>
          <w:i/>
        </w:rPr>
        <w:t xml:space="preserve">Protierozní, protilavinová a protipožádní ochrana</w:t>
      </w:r>
      <w:r>
        <w:t xml:space="preserve">.</w:t>
      </w:r>
    </w:p>
    <w:p>
      <w:pPr>
        <w:pStyle w:val="CaptionedFigure"/>
      </w:pPr>
      <w:r>
        <w:drawing>
          <wp:inline>
            <wp:extent cx="5613400" cy="3450860"/>
            <wp:effectExtent b="0" l="0" r="0" t="0"/>
            <wp:docPr descr="Graf 18 Ochrana přírody a krajiny: složení výdajů podle paragrafů" title="" id="85" name="Picture"/>
            <a:graphic>
              <a:graphicData uri="http://schemas.openxmlformats.org/drawingml/2006/picture">
                <pic:pic>
                  <pic:nvPicPr>
                    <pic:cNvPr descr="s_analyza_files/figure-docx/plot-zp-priroda-1.png" id="86" name="Picture"/>
                    <pic:cNvPicPr>
                      <a:picLocks noChangeArrowheads="1" noChangeAspect="1"/>
                    </pic:cNvPicPr>
                  </pic:nvPicPr>
                  <pic:blipFill>
                    <a:blip r:embed="rId84"/>
                    <a:stretch>
                      <a:fillRect/>
                    </a:stretch>
                  </pic:blipFill>
                  <pic:spPr bwMode="auto">
                    <a:xfrm>
                      <a:off x="0" y="0"/>
                      <a:ext cx="5613400" cy="3450860"/>
                    </a:xfrm>
                    <a:prstGeom prst="rect">
                      <a:avLst/>
                    </a:prstGeom>
                    <a:noFill/>
                    <a:ln w="9525">
                      <a:noFill/>
                      <a:headEnd/>
                      <a:tailEnd/>
                    </a:ln>
                  </pic:spPr>
                </pic:pic>
              </a:graphicData>
            </a:graphic>
          </wp:inline>
        </w:drawing>
      </w:r>
    </w:p>
    <w:p>
      <w:pPr>
        <w:pStyle w:val="ImageCaption"/>
      </w:pPr>
      <w:r>
        <w:rPr>
          <w:bCs/>
          <w:b/>
        </w:rPr>
        <w:t xml:space="preserve">Graf 18</w:t>
      </w:r>
      <w:r>
        <w:t xml:space="preserve"> </w:t>
      </w:r>
      <w:r>
        <w:t xml:space="preserve">Ochrana přírody a krajiny: složení výdajů podle paragrafů</w:t>
      </w:r>
    </w:p>
    <w:bookmarkEnd w:id="87"/>
    <w:bookmarkStart w:id="91" w:name="vodní-hospodářství"/>
    <w:p>
      <w:pPr>
        <w:pStyle w:val="Heading2"/>
      </w:pPr>
      <w:r>
        <w:t xml:space="preserve">Vodní hospodářství</w:t>
      </w:r>
    </w:p>
    <w:p>
      <w:pPr>
        <w:pStyle w:val="FirstParagraph"/>
      </w:pPr>
      <w:r>
        <w:t xml:space="preserve">Další oblastí s významnou rolí ESI fondů je vodní hospodářství. Pohled na jednotlivé pododdíly (graf</w:t>
      </w:r>
      <w:r>
        <w:t xml:space="preserve"> </w:t>
      </w:r>
      <w:r>
        <w:t xml:space="preserve">19</w:t>
      </w:r>
      <w:r>
        <w:t xml:space="preserve">) ukazuje, že nejvýznamnější jsou ESI fondy pro kapitálové výdaje dvou největších pododdílů: odvádění a čištění odpadních vod a pitná voda, v oboou případech pododdíly s téměř výhradně kapitálovými výdaji.</w:t>
      </w:r>
    </w:p>
    <w:p>
      <w:pPr>
        <w:pStyle w:val="CaptionedFigure"/>
      </w:pPr>
      <w:r>
        <w:drawing>
          <wp:inline>
            <wp:extent cx="5613400" cy="3450860"/>
            <wp:effectExtent b="0" l="0" r="0" t="0"/>
            <wp:docPr descr="Graf 19 Vodní hospodářství: složení výdajů podle pododdílů" title="" id="89" name="Picture"/>
            <a:graphic>
              <a:graphicData uri="http://schemas.openxmlformats.org/drawingml/2006/picture">
                <pic:pic>
                  <pic:nvPicPr>
                    <pic:cNvPr descr="s_analyza_files/figure-docx/plot-vodni-1.png" id="90" name="Picture"/>
                    <pic:cNvPicPr>
                      <a:picLocks noChangeArrowheads="1" noChangeAspect="1"/>
                    </pic:cNvPicPr>
                  </pic:nvPicPr>
                  <pic:blipFill>
                    <a:blip r:embed="rId88"/>
                    <a:stretch>
                      <a:fillRect/>
                    </a:stretch>
                  </pic:blipFill>
                  <pic:spPr bwMode="auto">
                    <a:xfrm>
                      <a:off x="0" y="0"/>
                      <a:ext cx="5613400" cy="3450860"/>
                    </a:xfrm>
                    <a:prstGeom prst="rect">
                      <a:avLst/>
                    </a:prstGeom>
                    <a:noFill/>
                    <a:ln w="9525">
                      <a:noFill/>
                      <a:headEnd/>
                      <a:tailEnd/>
                    </a:ln>
                  </pic:spPr>
                </pic:pic>
              </a:graphicData>
            </a:graphic>
          </wp:inline>
        </w:drawing>
      </w:r>
    </w:p>
    <w:p>
      <w:pPr>
        <w:pStyle w:val="ImageCaption"/>
      </w:pPr>
      <w:r>
        <w:rPr>
          <w:bCs/>
          <w:b/>
        </w:rPr>
        <w:t xml:space="preserve">Graf 19</w:t>
      </w:r>
      <w:r>
        <w:t xml:space="preserve"> </w:t>
      </w:r>
      <w:r>
        <w:t xml:space="preserve">Vodní hospodářství: složení výdajů podle pododdílů</w:t>
      </w:r>
    </w:p>
    <w:bookmarkEnd w:id="91"/>
    <w:bookmarkStart w:id="92" w:name="doprava"/>
    <w:p>
      <w:pPr>
        <w:pStyle w:val="Heading2"/>
      </w:pPr>
      <w:r>
        <w:t xml:space="preserve">Doprava</w:t>
      </w:r>
    </w:p>
    <w:p>
      <w:pPr>
        <w:pStyle w:val="FirstParagraph"/>
      </w:pPr>
      <w:r>
        <w:t xml:space="preserve">V oddílu Doprava bohužel není podrobnější analýza možná, protože téměř veškeré výdaje jsou od roku 2015 vykazovány v pododdílu</w:t>
      </w:r>
      <w:r>
        <w:t xml:space="preserve"> </w:t>
      </w:r>
      <w:r>
        <w:rPr>
          <w:iCs/>
          <w:i/>
        </w:rPr>
        <w:t xml:space="preserve">Ostatní činnosti a nespecifikované výdaje v dopravě</w:t>
      </w:r>
      <w:r>
        <w:t xml:space="preserve">, takže není patrné ani členění např. na silniční a železniční dopravu.</w:t>
      </w:r>
    </w:p>
    <w:bookmarkEnd w:id="92"/>
    <w:bookmarkStart w:id="99" w:name="průmysl-stavebnictví-obchod-a-služby"/>
    <w:p>
      <w:pPr>
        <w:pStyle w:val="Heading2"/>
      </w:pPr>
      <w:r>
        <w:t xml:space="preserve">Průmysl, stavebnictví, obchod a služby</w:t>
      </w:r>
    </w:p>
    <w:p>
      <w:pPr>
        <w:pStyle w:val="FirstParagraph"/>
      </w:pPr>
      <w:r>
        <w:t xml:space="preserve">Tento oddíl byl dalším, kde byl jednak patrný setrvale vysoký podil ESI fondů, jednak se projevil i vliv pandemie. Nárůst výdajů národních i z ESI fondů je patrný v roce 2020 v pododdíle Ostatní odvětvové a oborové záležitosti, ale také v pododdílu zahrnujícím cestovní ruch, kde stát v roce 2020 vyplácet odvětvově specifické kompenzace. (Opačné skoky v kategoriích „energetiky“ a „správy“ jsou zřejmě artefakt změn ve vykazování; tyto kategorie zahrnují nejspíše výdaje na podporu obnovitelných zdrojů.)</w:t>
      </w:r>
    </w:p>
    <w:p>
      <w:pPr>
        <w:pStyle w:val="BodyText"/>
      </w:pPr>
      <w:r>
        <w:drawing>
          <wp:inline>
            <wp:extent cx="5613400" cy="3450860"/>
            <wp:effectExtent b="0" l="0" r="0" t="0"/>
            <wp:docPr descr="Graf 20 Průmysl: složení výdajů podle pododdílů" title="" id="94" name="Picture"/>
            <a:graphic>
              <a:graphicData uri="http://schemas.openxmlformats.org/drawingml/2006/picture">
                <pic:pic>
                  <pic:nvPicPr>
                    <pic:cNvPr descr="s_analyza_files/figure-docx/plot-prumysl-1.png" id="95" name="Picture"/>
                    <pic:cNvPicPr>
                      <a:picLocks noChangeArrowheads="1" noChangeAspect="1"/>
                    </pic:cNvPicPr>
                  </pic:nvPicPr>
                  <pic:blipFill>
                    <a:blip r:embed="rId93"/>
                    <a:stretch>
                      <a:fillRect/>
                    </a:stretch>
                  </pic:blipFill>
                  <pic:spPr bwMode="auto">
                    <a:xfrm>
                      <a:off x="0" y="0"/>
                      <a:ext cx="5613400" cy="3450860"/>
                    </a:xfrm>
                    <a:prstGeom prst="rect">
                      <a:avLst/>
                    </a:prstGeom>
                    <a:noFill/>
                    <a:ln w="9525">
                      <a:noFill/>
                      <a:headEnd/>
                      <a:tailEnd/>
                    </a:ln>
                  </pic:spPr>
                </pic:pic>
              </a:graphicData>
            </a:graphic>
          </wp:inline>
        </w:drawing>
      </w:r>
      <w:r>
        <w:t xml:space="preserve"> </w:t>
      </w:r>
      <w:r>
        <w:t xml:space="preserve">Jak ale ukazuje graf</w:t>
      </w:r>
      <w:r>
        <w:t xml:space="preserve"> </w:t>
      </w:r>
      <w:r>
        <w:t xml:space="preserve">21</w:t>
      </w:r>
      <w:r>
        <w:t xml:space="preserve">, který výdaje zobrazuje po paragrafech, nárůst v celém pododdílu</w:t>
      </w:r>
      <w:r>
        <w:t xml:space="preserve"> </w:t>
      </w:r>
      <w:r>
        <w:rPr>
          <w:iCs/>
          <w:i/>
        </w:rPr>
        <w:t xml:space="preserve">Ostatní odvětvové a oborové záležitosti</w:t>
      </w:r>
      <w:r>
        <w:t xml:space="preserve"> </w:t>
      </w:r>
      <w:r>
        <w:t xml:space="preserve">je v roce 2020 tažen národními výdaji v paragrafu</w:t>
      </w:r>
      <w:r>
        <w:t xml:space="preserve"> </w:t>
      </w:r>
      <w:r>
        <w:rPr>
          <w:iCs/>
          <w:i/>
        </w:rPr>
        <w:t xml:space="preserve">Podpora podnikání a inovací</w:t>
      </w:r>
      <w:r>
        <w:t xml:space="preserve">, kde zřejmě hrály roli některé kompenzační programy; nárůst ESI fondů v paragrafu</w:t>
      </w:r>
      <w:r>
        <w:t xml:space="preserve"> </w:t>
      </w:r>
      <w:r>
        <w:rPr>
          <w:iCs/>
          <w:i/>
        </w:rPr>
        <w:t xml:space="preserve">Opatření ke zvýšení konkurenceschopnosti</w:t>
      </w:r>
      <w:r>
        <w:t xml:space="preserve"> </w:t>
      </w:r>
      <w:r>
        <w:t xml:space="preserve">je spíše součástí cyklu programového období.</w:t>
      </w:r>
    </w:p>
    <w:p>
      <w:pPr>
        <w:pStyle w:val="CaptionedFigure"/>
      </w:pPr>
      <w:r>
        <w:drawing>
          <wp:inline>
            <wp:extent cx="5613400" cy="3450860"/>
            <wp:effectExtent b="0" l="0" r="0" t="0"/>
            <wp:docPr descr="Graf 21 Ostatní odvětvové záležitosti: složení výdajů podle paragrafů" title="" id="97" name="Picture"/>
            <a:graphic>
              <a:graphicData uri="http://schemas.openxmlformats.org/drawingml/2006/picture">
                <pic:pic>
                  <pic:nvPicPr>
                    <pic:cNvPr descr="s_analyza_files/figure-docx/plot-prumysl-ostatni-1.png" id="98" name="Picture"/>
                    <pic:cNvPicPr>
                      <a:picLocks noChangeArrowheads="1" noChangeAspect="1"/>
                    </pic:cNvPicPr>
                  </pic:nvPicPr>
                  <pic:blipFill>
                    <a:blip r:embed="rId96"/>
                    <a:stretch>
                      <a:fillRect/>
                    </a:stretch>
                  </pic:blipFill>
                  <pic:spPr bwMode="auto">
                    <a:xfrm>
                      <a:off x="0" y="0"/>
                      <a:ext cx="5613400" cy="3450860"/>
                    </a:xfrm>
                    <a:prstGeom prst="rect">
                      <a:avLst/>
                    </a:prstGeom>
                    <a:noFill/>
                    <a:ln w="9525">
                      <a:noFill/>
                      <a:headEnd/>
                      <a:tailEnd/>
                    </a:ln>
                  </pic:spPr>
                </pic:pic>
              </a:graphicData>
            </a:graphic>
          </wp:inline>
        </w:drawing>
      </w:r>
    </w:p>
    <w:p>
      <w:pPr>
        <w:pStyle w:val="ImageCaption"/>
      </w:pPr>
      <w:r>
        <w:rPr>
          <w:bCs/>
          <w:b/>
        </w:rPr>
        <w:t xml:space="preserve">Graf 21</w:t>
      </w:r>
      <w:r>
        <w:t xml:space="preserve"> </w:t>
      </w:r>
      <w:r>
        <w:t xml:space="preserve">Ostatní odvětvové záležitosti: složení výdajů podle paragrafů</w:t>
      </w:r>
    </w:p>
    <w:bookmarkEnd w:id="99"/>
    <w:bookmarkStart w:id="106" w:name="politika-zaměstnanosti"/>
    <w:p>
      <w:pPr>
        <w:pStyle w:val="Heading2"/>
      </w:pPr>
      <w:r>
        <w:t xml:space="preserve">Politika zaměstnanosti</w:t>
      </w:r>
    </w:p>
    <w:p>
      <w:pPr>
        <w:pStyle w:val="FirstParagraph"/>
      </w:pPr>
      <w:r>
        <w:t xml:space="preserve">Naopak v politice zaměstnanosti ESI fondy hrály výraznější roli v reakci veřejných výdajů v kontextu pandemie Covid-19. V grafu</w:t>
      </w:r>
      <w:r>
        <w:t xml:space="preserve"> </w:t>
      </w:r>
      <w:r>
        <w:t xml:space="preserve">22</w:t>
      </w:r>
      <w:r>
        <w:t xml:space="preserve"> </w:t>
      </w:r>
      <w:r>
        <w:t xml:space="preserve">je patrný nárůst národních i ESIF prostředků na běžné výdaje v pododdíle Aktivní politika zaměstnanost v roce 2020, který odráží mj. program Antivirus.</w:t>
      </w:r>
    </w:p>
    <w:p>
      <w:pPr>
        <w:pStyle w:val="BodyText"/>
      </w:pPr>
      <w:r>
        <w:drawing>
          <wp:inline>
            <wp:extent cx="5613400" cy="3450860"/>
            <wp:effectExtent b="0" l="0" r="0" t="0"/>
            <wp:docPr descr="Graf 22 Politika zaměstnanost: složení výdajů podle pododdílů" title="" id="101" name="Picture"/>
            <a:graphic>
              <a:graphicData uri="http://schemas.openxmlformats.org/drawingml/2006/picture">
                <pic:pic>
                  <pic:nvPicPr>
                    <pic:cNvPr descr="s_analyza_files/figure-docx/plot-zam-1.png" id="102" name="Picture"/>
                    <pic:cNvPicPr>
                      <a:picLocks noChangeArrowheads="1" noChangeAspect="1"/>
                    </pic:cNvPicPr>
                  </pic:nvPicPr>
                  <pic:blipFill>
                    <a:blip r:embed="rId100"/>
                    <a:stretch>
                      <a:fillRect/>
                    </a:stretch>
                  </pic:blipFill>
                  <pic:spPr bwMode="auto">
                    <a:xfrm>
                      <a:off x="0" y="0"/>
                      <a:ext cx="5613400" cy="3450860"/>
                    </a:xfrm>
                    <a:prstGeom prst="rect">
                      <a:avLst/>
                    </a:prstGeom>
                    <a:noFill/>
                    <a:ln w="9525">
                      <a:noFill/>
                      <a:headEnd/>
                      <a:tailEnd/>
                    </a:ln>
                  </pic:spPr>
                </pic:pic>
              </a:graphicData>
            </a:graphic>
          </wp:inline>
        </w:drawing>
      </w:r>
      <w:r>
        <w:t xml:space="preserve"> </w:t>
      </w:r>
      <w:r>
        <w:t xml:space="preserve">Detailnější graf</w:t>
      </w:r>
      <w:r>
        <w:t xml:space="preserve"> </w:t>
      </w:r>
      <w:r>
        <w:t xml:space="preserve">23</w:t>
      </w:r>
      <w:r>
        <w:t xml:space="preserve"> </w:t>
      </w:r>
      <w:r>
        <w:t xml:space="preserve">pak ukazuje, že zatímco cílené programy v roce 2020 výrazně vzrostly i s pomocí ESI fondů, dlouhodobě klesá objem výdajů na společensky prospěšná pracovní místa a veřejně prospěšné práce - veřejné politiky v minulosti dominantně financované z ESI fondů.</w:t>
      </w:r>
    </w:p>
    <w:p>
      <w:pPr>
        <w:pStyle w:val="CaptionedFigure"/>
      </w:pPr>
      <w:r>
        <w:drawing>
          <wp:inline>
            <wp:extent cx="5613400" cy="3450860"/>
            <wp:effectExtent b="0" l="0" r="0" t="0"/>
            <wp:docPr descr="Graf 23 Aktivní politika zaměstnanosti: složení výdajů podle paragrafů" title="" id="104" name="Picture"/>
            <a:graphic>
              <a:graphicData uri="http://schemas.openxmlformats.org/drawingml/2006/picture">
                <pic:pic>
                  <pic:nvPicPr>
                    <pic:cNvPr descr="s_analyza_files/figure-docx/plot-zam-apz-1.png" id="105" name="Picture"/>
                    <pic:cNvPicPr>
                      <a:picLocks noChangeArrowheads="1" noChangeAspect="1"/>
                    </pic:cNvPicPr>
                  </pic:nvPicPr>
                  <pic:blipFill>
                    <a:blip r:embed="rId103"/>
                    <a:stretch>
                      <a:fillRect/>
                    </a:stretch>
                  </pic:blipFill>
                  <pic:spPr bwMode="auto">
                    <a:xfrm>
                      <a:off x="0" y="0"/>
                      <a:ext cx="5613400" cy="3450860"/>
                    </a:xfrm>
                    <a:prstGeom prst="rect">
                      <a:avLst/>
                    </a:prstGeom>
                    <a:noFill/>
                    <a:ln w="9525">
                      <a:noFill/>
                      <a:headEnd/>
                      <a:tailEnd/>
                    </a:ln>
                  </pic:spPr>
                </pic:pic>
              </a:graphicData>
            </a:graphic>
          </wp:inline>
        </w:drawing>
      </w:r>
    </w:p>
    <w:p>
      <w:pPr>
        <w:pStyle w:val="ImageCaption"/>
      </w:pPr>
      <w:r>
        <w:rPr>
          <w:bCs/>
          <w:b/>
        </w:rPr>
        <w:t xml:space="preserve">Graf 23</w:t>
      </w:r>
      <w:r>
        <w:t xml:space="preserve"> </w:t>
      </w:r>
      <w:r>
        <w:t xml:space="preserve">Aktivní politika zaměstnanosti: složení výdajů podle paragrafů</w:t>
      </w:r>
    </w:p>
    <w:bookmarkEnd w:id="106"/>
    <w:bookmarkEnd w:id="107"/>
    <w:bookmarkStart w:id="108" w:name="závěrem-náměty-na-další-výzkum"/>
    <w:p>
      <w:pPr>
        <w:pStyle w:val="Heading1"/>
      </w:pPr>
      <w:r>
        <w:t xml:space="preserve">Závěrem: náměty na další výzkum</w:t>
      </w:r>
    </w:p>
    <w:p>
      <w:pPr>
        <w:pStyle w:val="FirstParagraph"/>
      </w:pPr>
      <w:r>
        <w:t xml:space="preserve">Tato analýza představuje pouze první, základní přehled o roli ESI fondů ve veřejných výdajích.</w:t>
      </w:r>
      <w:r>
        <w:t xml:space="preserve"> </w:t>
      </w:r>
      <w:r>
        <w:t xml:space="preserve">Přímo či nepřímo dostupná data nabízejí možnost detailnějšího a sofistikovanějšího zkoumání role ESI fondů.</w:t>
      </w:r>
      <w:r>
        <w:t xml:space="preserve"> </w:t>
      </w:r>
      <w:r>
        <w:t xml:space="preserve">Příkladem může být celá oblast samospráv, pro kterou pravděpodobně lze podíly ESI fondů na příjmech a výdajích z veřejných dat dovodit, byť bohužel data o samosprávách a státních fondech nejsou dostupné ve stejném detailu jako pro státní rozpočet.</w:t>
      </w:r>
    </w:p>
    <w:p>
      <w:pPr>
        <w:pStyle w:val="BodyText"/>
      </w:pPr>
      <w:r>
        <w:t xml:space="preserve">Zahrnutí samospráv a státních fondů by umožnilo celkový pohled na veřejné výdaje, popř. veřejné investice.</w:t>
      </w:r>
    </w:p>
    <w:p>
      <w:pPr>
        <w:pStyle w:val="BodyText"/>
      </w:pPr>
      <w:r>
        <w:t xml:space="preserve">Na úrovni jednotlivých samospráv pak vyvstává množství otázek ohledně role ESI fondů v rozpočtech různých typů obcí, regionů, tedy ve vztahu k regionálnímu rozvoji.</w:t>
      </w:r>
    </w:p>
    <w:p>
      <w:pPr>
        <w:pStyle w:val="BodyText"/>
      </w:pPr>
      <w:r>
        <w:t xml:space="preserve">Stejně tak může být pro některé oblasti veřejných politik nebo pro porozumění fungování nástrojů veřejných financí zajímavé analyzovat roli ESI fondů ve fiskálních vztazích státního rozpočtu a rozpočtů samospráv.</w:t>
      </w:r>
    </w:p>
    <w:p>
      <w:pPr>
        <w:pStyle w:val="BodyText"/>
      </w:pPr>
      <w:r>
        <w:t xml:space="preserve">V této analýze jsme také nevyužívali tzv. druhové třídění rozpočtu, které by umožnilo porozumět různým typům výdajů, např. personálním nebo veřejným zakázkám.</w:t>
      </w:r>
    </w:p>
    <w:bookmarkEnd w:id="108"/>
    <w:bookmarkStart w:id="139" w:name="přílohy"/>
    <w:p>
      <w:pPr>
        <w:pStyle w:val="Heading1"/>
      </w:pPr>
      <w:r>
        <w:t xml:space="preserve">Přílohy</w:t>
      </w:r>
    </w:p>
    <w:bookmarkStart w:id="127" w:name="studie2017"/>
    <w:p>
      <w:pPr>
        <w:pStyle w:val="Heading2"/>
      </w:pPr>
      <w:r>
        <w:t xml:space="preserve">Příloha 1: Výpočty pro podmnožinu výdajů podle studie z roku 2017</w:t>
      </w:r>
    </w:p>
    <w:bookmarkStart w:id="117" w:name="celkové-výdaje"/>
    <w:p>
      <w:pPr>
        <w:pStyle w:val="Heading3"/>
      </w:pPr>
      <w:r>
        <w:t xml:space="preserve">Celkové výdaje</w:t>
      </w:r>
    </w:p>
    <w:bookmarkStart w:id="112" w:name="absolutně"/>
    <w:p>
      <w:pPr>
        <w:pStyle w:val="Heading4"/>
      </w:pPr>
      <w:r>
        <w:t xml:space="preserve">Absolutně</w:t>
      </w:r>
    </w:p>
    <w:p>
      <w:pPr>
        <w:pStyle w:val="FirstParagraph"/>
      </w:pPr>
      <w:r>
        <w:drawing>
          <wp:inline>
            <wp:extent cx="5613400" cy="3450860"/>
            <wp:effectExtent b="0" l="0" r="0" t="0"/>
            <wp:docPr descr="" title="" id="110" name="Picture"/>
            <a:graphic>
              <a:graphicData uri="http://schemas.openxmlformats.org/drawingml/2006/picture">
                <pic:pic>
                  <pic:nvPicPr>
                    <pic:cNvPr descr="s_analyza_files/figure-docx/plot-abs-hlousek-1.png" id="111" name="Picture"/>
                    <pic:cNvPicPr>
                      <a:picLocks noChangeArrowheads="1" noChangeAspect="1"/>
                    </pic:cNvPicPr>
                  </pic:nvPicPr>
                  <pic:blipFill>
                    <a:blip r:embed="rId109"/>
                    <a:stretch>
                      <a:fillRect/>
                    </a:stretch>
                  </pic:blipFill>
                  <pic:spPr bwMode="auto">
                    <a:xfrm>
                      <a:off x="0" y="0"/>
                      <a:ext cx="5613400" cy="3450860"/>
                    </a:xfrm>
                    <a:prstGeom prst="rect">
                      <a:avLst/>
                    </a:prstGeom>
                    <a:noFill/>
                    <a:ln w="9525">
                      <a:noFill/>
                      <a:headEnd/>
                      <a:tailEnd/>
                    </a:ln>
                  </pic:spPr>
                </pic:pic>
              </a:graphicData>
            </a:graphic>
          </wp:inline>
        </w:drawing>
      </w:r>
    </w:p>
    <w:bookmarkEnd w:id="112"/>
    <w:bookmarkStart w:id="116" w:name="podíl-esif"/>
    <w:p>
      <w:pPr>
        <w:pStyle w:val="Heading4"/>
      </w:pPr>
      <w:r>
        <w:t xml:space="preserve">Podíl ESIF</w:t>
      </w:r>
    </w:p>
    <w:p>
      <w:pPr>
        <w:pStyle w:val="FirstParagraph"/>
      </w:pPr>
      <w:r>
        <w:drawing>
          <wp:inline>
            <wp:extent cx="5613400" cy="3450860"/>
            <wp:effectExtent b="0" l="0" r="0" t="0"/>
            <wp:docPr descr="" title="" id="114" name="Picture"/>
            <a:graphic>
              <a:graphicData uri="http://schemas.openxmlformats.org/drawingml/2006/picture">
                <pic:pic>
                  <pic:nvPicPr>
                    <pic:cNvPr descr="s_analyza_files/figure-docx/plot-podil-hlousek-1.png" id="115" name="Picture"/>
                    <pic:cNvPicPr>
                      <a:picLocks noChangeArrowheads="1" noChangeAspect="1"/>
                    </pic:cNvPicPr>
                  </pic:nvPicPr>
                  <pic:blipFill>
                    <a:blip r:embed="rId113"/>
                    <a:stretch>
                      <a:fillRect/>
                    </a:stretch>
                  </pic:blipFill>
                  <pic:spPr bwMode="auto">
                    <a:xfrm>
                      <a:off x="0" y="0"/>
                      <a:ext cx="5613400" cy="3450860"/>
                    </a:xfrm>
                    <a:prstGeom prst="rect">
                      <a:avLst/>
                    </a:prstGeom>
                    <a:noFill/>
                    <a:ln w="9525">
                      <a:noFill/>
                      <a:headEnd/>
                      <a:tailEnd/>
                    </a:ln>
                  </pic:spPr>
                </pic:pic>
              </a:graphicData>
            </a:graphic>
          </wp:inline>
        </w:drawing>
      </w:r>
    </w:p>
    <w:bookmarkEnd w:id="116"/>
    <w:bookmarkEnd w:id="117"/>
    <w:bookmarkStart w:id="126" w:name="běžné-a-kapitálové"/>
    <w:p>
      <w:pPr>
        <w:pStyle w:val="Heading3"/>
      </w:pPr>
      <w:r>
        <w:t xml:space="preserve">Běžné a kapitálové</w:t>
      </w:r>
    </w:p>
    <w:bookmarkStart w:id="121" w:name="absolutně-1"/>
    <w:p>
      <w:pPr>
        <w:pStyle w:val="Heading4"/>
      </w:pPr>
      <w:r>
        <w:t xml:space="preserve">Absolutně</w:t>
      </w:r>
    </w:p>
    <w:p>
      <w:pPr>
        <w:pStyle w:val="FirstParagraph"/>
      </w:pPr>
      <w:r>
        <w:drawing>
          <wp:inline>
            <wp:extent cx="5613400" cy="3450860"/>
            <wp:effectExtent b="0" l="0" r="0" t="0"/>
            <wp:docPr descr="" title="" id="119" name="Picture"/>
            <a:graphic>
              <a:graphicData uri="http://schemas.openxmlformats.org/drawingml/2006/picture">
                <pic:pic>
                  <pic:nvPicPr>
                    <pic:cNvPr descr="s_analyza_files/figure-docx/plot-bezkap-abs-hlousek-1.png" id="120" name="Picture"/>
                    <pic:cNvPicPr>
                      <a:picLocks noChangeArrowheads="1" noChangeAspect="1"/>
                    </pic:cNvPicPr>
                  </pic:nvPicPr>
                  <pic:blipFill>
                    <a:blip r:embed="rId118"/>
                    <a:stretch>
                      <a:fillRect/>
                    </a:stretch>
                  </pic:blipFill>
                  <pic:spPr bwMode="auto">
                    <a:xfrm>
                      <a:off x="0" y="0"/>
                      <a:ext cx="5613400" cy="3450860"/>
                    </a:xfrm>
                    <a:prstGeom prst="rect">
                      <a:avLst/>
                    </a:prstGeom>
                    <a:noFill/>
                    <a:ln w="9525">
                      <a:noFill/>
                      <a:headEnd/>
                      <a:tailEnd/>
                    </a:ln>
                  </pic:spPr>
                </pic:pic>
              </a:graphicData>
            </a:graphic>
          </wp:inline>
        </w:drawing>
      </w:r>
    </w:p>
    <w:bookmarkEnd w:id="121"/>
    <w:bookmarkStart w:id="125" w:name="podíl-esif-1"/>
    <w:p>
      <w:pPr>
        <w:pStyle w:val="Heading4"/>
      </w:pPr>
      <w:r>
        <w:t xml:space="preserve">Podíl ESIF</w:t>
      </w:r>
    </w:p>
    <w:p>
      <w:pPr>
        <w:pStyle w:val="FirstParagraph"/>
      </w:pPr>
      <w:r>
        <w:drawing>
          <wp:inline>
            <wp:extent cx="5613400" cy="3450860"/>
            <wp:effectExtent b="0" l="0" r="0" t="0"/>
            <wp:docPr descr="" title="" id="123" name="Picture"/>
            <a:graphic>
              <a:graphicData uri="http://schemas.openxmlformats.org/drawingml/2006/picture">
                <pic:pic>
                  <pic:nvPicPr>
                    <pic:cNvPr descr="s_analyza_files/figure-docx/plot-bezkap-podil-hlousek-1.png" id="124" name="Picture"/>
                    <pic:cNvPicPr>
                      <a:picLocks noChangeArrowheads="1" noChangeAspect="1"/>
                    </pic:cNvPicPr>
                  </pic:nvPicPr>
                  <pic:blipFill>
                    <a:blip r:embed="rId122"/>
                    <a:stretch>
                      <a:fillRect/>
                    </a:stretch>
                  </pic:blipFill>
                  <pic:spPr bwMode="auto">
                    <a:xfrm>
                      <a:off x="0" y="0"/>
                      <a:ext cx="5613400" cy="3450860"/>
                    </a:xfrm>
                    <a:prstGeom prst="rect">
                      <a:avLst/>
                    </a:prstGeom>
                    <a:noFill/>
                    <a:ln w="9525">
                      <a:noFill/>
                      <a:headEnd/>
                      <a:tailEnd/>
                    </a:ln>
                  </pic:spPr>
                </pic:pic>
              </a:graphicData>
            </a:graphic>
          </wp:inline>
        </w:drawing>
      </w:r>
    </w:p>
    <w:bookmarkEnd w:id="125"/>
    <w:bookmarkEnd w:id="126"/>
    <w:bookmarkEnd w:id="127"/>
    <w:bookmarkStart w:id="138" w:name="data"/>
    <w:p>
      <w:pPr>
        <w:pStyle w:val="Heading2"/>
      </w:pPr>
      <w:r>
        <w:t xml:space="preserve">Příloha 2: Využitá data a jejich omezení</w:t>
      </w:r>
    </w:p>
    <w:bookmarkStart w:id="128" w:name="zdroje-dat"/>
    <w:p>
      <w:pPr>
        <w:pStyle w:val="Heading3"/>
      </w:pPr>
      <w:r>
        <w:t xml:space="preserve">Zdroje dat</w:t>
      </w:r>
    </w:p>
    <w:p>
      <w:pPr>
        <w:pStyle w:val="FirstParagraph"/>
      </w:pPr>
      <w:r>
        <w:t xml:space="preserve">Využíváme data ze Státní pokladny</w:t>
      </w:r>
      <w:r>
        <w:t xml:space="preserve"> </w:t>
      </w:r>
      <w:r>
        <w:t xml:space="preserve">(</w:t>
      </w:r>
      <w:hyperlink w:anchor="ref-MonitorInformacniPortal">
        <w:r>
          <w:rPr>
            <w:rStyle w:val="Hyperlink"/>
          </w:rPr>
          <w:t xml:space="preserve">„Monitor - informační portál Ministerstva financí"</w:t>
        </w:r>
        <w:r>
          <w:rPr>
            <w:rStyle w:val="Hyperlink"/>
          </w:rPr>
          <w:t xml:space="preserve"> </w:t>
        </w:r>
        <w:r>
          <w:rPr>
            <w:rStyle w:val="Hyperlink"/>
          </w:rPr>
          <w:t xml:space="preserve">b.r.</w:t>
        </w:r>
      </w:hyperlink>
      <w:r>
        <w:t xml:space="preserve">)</w:t>
      </w:r>
      <w:r>
        <w:t xml:space="preserve">, konkrétně otevřené datové sady o plnění rozpočtů tzv. ústředně řízených organizacích, které dohromady odpovídají hranicím státního rozpočtu.</w:t>
      </w:r>
    </w:p>
    <w:bookmarkEnd w:id="128"/>
    <w:bookmarkStart w:id="131" w:name="zpracování-dat-a-analýzy"/>
    <w:p>
      <w:pPr>
        <w:pStyle w:val="Heading3"/>
      </w:pPr>
      <w:r>
        <w:t xml:space="preserve">Zpracování dat a analýzy</w:t>
      </w:r>
    </w:p>
    <w:p>
      <w:pPr>
        <w:pStyle w:val="FirstParagraph"/>
      </w:pPr>
      <w:r>
        <w:t xml:space="preserve">Data byla zpracována ve statistickém software R</w:t>
      </w:r>
      <w:r>
        <w:t xml:space="preserve"> </w:t>
      </w:r>
      <w:r>
        <w:t xml:space="preserve">(</w:t>
      </w:r>
      <w:hyperlink w:anchor="ref-R-base">
        <w:r>
          <w:rPr>
            <w:rStyle w:val="Hyperlink"/>
          </w:rPr>
          <w:t xml:space="preserve">R Core Team 2021</w:t>
        </w:r>
      </w:hyperlink>
      <w:r>
        <w:t xml:space="preserve">)</w:t>
      </w:r>
      <w:r>
        <w:t xml:space="preserve"> </w:t>
      </w:r>
      <w:r>
        <w:t xml:space="preserve">za použití balíku</w:t>
      </w:r>
      <w:r>
        <w:t xml:space="preserve"> </w:t>
      </w:r>
      <w:r>
        <w:rPr>
          <w:rStyle w:val="VerbatimChar"/>
        </w:rPr>
        <w:t xml:space="preserve">statnipokladna</w:t>
      </w:r>
      <w:r>
        <w:t xml:space="preserve"> </w:t>
      </w:r>
      <w:r>
        <w:t xml:space="preserve">(</w:t>
      </w:r>
      <w:hyperlink w:anchor="ref-R-statnipokladna">
        <w:r>
          <w:rPr>
            <w:rStyle w:val="Hyperlink"/>
          </w:rPr>
          <w:t xml:space="preserve">Bouchal 2021</w:t>
        </w:r>
      </w:hyperlink>
      <w:r>
        <w:t xml:space="preserve">)</w:t>
      </w:r>
      <w:r>
        <w:t xml:space="preserve">. Kód je spolu s daty upravenými pro analýzu dostupný na Githubu na adrese</w:t>
      </w:r>
      <w:r>
        <w:t xml:space="preserve"> </w:t>
      </w:r>
      <w:hyperlink r:id="rId129">
        <w:r>
          <w:rPr>
            <w:rStyle w:val="Hyperlink"/>
          </w:rPr>
          <w:t xml:space="preserve">https://github.com/petrbouchal/esifinancuji</w:t>
        </w:r>
      </w:hyperlink>
      <w:r>
        <w:t xml:space="preserve">. Technická dokumentace je zveřejněna na</w:t>
      </w:r>
      <w:r>
        <w:t xml:space="preserve"> </w:t>
      </w:r>
      <w:hyperlink r:id="rId130">
        <w:r>
          <w:rPr>
            <w:rStyle w:val="Hyperlink"/>
          </w:rPr>
          <w:t xml:space="preserve">https://esifinancuji.petrbouchal.xyz</w:t>
        </w:r>
      </w:hyperlink>
      <w:r>
        <w:t xml:space="preserve">. Samotná analýza je sestavena jako reprodukovatelný dokument v systému Rmarkdown</w:t>
      </w:r>
      <w:r>
        <w:t xml:space="preserve"> </w:t>
      </w:r>
      <w:r>
        <w:t xml:space="preserve">(</w:t>
      </w:r>
      <w:hyperlink w:anchor="ref-R-rmarkdown">
        <w:r>
          <w:rPr>
            <w:rStyle w:val="Hyperlink"/>
          </w:rPr>
          <w:t xml:space="preserve">Allaire et al. 2021</w:t>
        </w:r>
      </w:hyperlink>
      <w:r>
        <w:t xml:space="preserve">)</w:t>
      </w:r>
      <w:r>
        <w:t xml:space="preserve">.</w:t>
      </w:r>
    </w:p>
    <w:bookmarkEnd w:id="131"/>
    <w:bookmarkStart w:id="135" w:name="X783e7634508d0d5cc5b543e5052885918516e25"/>
    <w:p>
      <w:pPr>
        <w:pStyle w:val="Heading3"/>
      </w:pPr>
      <w:r>
        <w:t xml:space="preserve">Jak rozpočtová data zachycují veřejné finance</w:t>
      </w:r>
    </w:p>
    <w:bookmarkStart w:id="132" w:name="záběr"/>
    <w:p>
      <w:pPr>
        <w:pStyle w:val="Heading4"/>
      </w:pPr>
      <w:r>
        <w:t xml:space="preserve">Záběr</w:t>
      </w:r>
    </w:p>
    <w:p>
      <w:pPr>
        <w:pStyle w:val="FirstParagraph"/>
      </w:pPr>
      <w:r>
        <w:t xml:space="preserve">Státní pokladna ve veřejně dostupných datech sleduje čtyři typy organizací:</w:t>
      </w:r>
    </w:p>
    <w:p>
      <w:pPr>
        <w:numPr>
          <w:ilvl w:val="0"/>
          <w:numId w:val="1003"/>
        </w:numPr>
        <w:pStyle w:val="Compact"/>
      </w:pPr>
      <w:r>
        <w:t xml:space="preserve">ústředně řízené:</w:t>
      </w:r>
    </w:p>
    <w:p>
      <w:pPr>
        <w:numPr>
          <w:ilvl w:val="1"/>
          <w:numId w:val="1004"/>
        </w:numPr>
        <w:pStyle w:val="Compact"/>
      </w:pPr>
      <w:r>
        <w:t xml:space="preserve">organizační složky státu</w:t>
      </w:r>
    </w:p>
    <w:p>
      <w:pPr>
        <w:numPr>
          <w:ilvl w:val="1"/>
          <w:numId w:val="1004"/>
        </w:numPr>
        <w:pStyle w:val="Compact"/>
      </w:pPr>
      <w:r>
        <w:t xml:space="preserve">příspěvkové organizace</w:t>
      </w:r>
    </w:p>
    <w:p>
      <w:pPr>
        <w:numPr>
          <w:ilvl w:val="1"/>
          <w:numId w:val="1004"/>
        </w:numPr>
        <w:pStyle w:val="Compact"/>
      </w:pPr>
      <w:r>
        <w:t xml:space="preserve">státní fondy</w:t>
      </w:r>
    </w:p>
    <w:p>
      <w:pPr>
        <w:numPr>
          <w:ilvl w:val="0"/>
          <w:numId w:val="1003"/>
        </w:numPr>
        <w:pStyle w:val="Compact"/>
      </w:pPr>
      <w:r>
        <w:t xml:space="preserve">místně řízené,</w:t>
      </w:r>
    </w:p>
    <w:p>
      <w:pPr>
        <w:numPr>
          <w:ilvl w:val="1"/>
          <w:numId w:val="1005"/>
        </w:numPr>
        <w:pStyle w:val="Compact"/>
      </w:pPr>
      <w:r>
        <w:t xml:space="preserve">tj. obce, kraje a jejich příspěvkové organizace a sdružení, vše společně</w:t>
      </w:r>
    </w:p>
    <w:p>
      <w:pPr>
        <w:pStyle w:val="FirstParagraph"/>
      </w:pPr>
      <w:r>
        <w:t xml:space="preserve">Kromě příjmů a výdajů pak stát eviduje ještě účelové transfery (dotace) od státu k obcím.</w:t>
      </w:r>
    </w:p>
    <w:p>
      <w:pPr>
        <w:pStyle w:val="BodyText"/>
      </w:pPr>
      <w:r>
        <w:t xml:space="preserve">V této studii využíváme pouze data o organizačních složkách státu a příspěvkových organizacích státu, které dohromady tvoří výdaje státního rozpočtu.</w:t>
      </w:r>
    </w:p>
    <w:p>
      <w:pPr>
        <w:pStyle w:val="BodyText"/>
      </w:pPr>
      <w:r>
        <w:t xml:space="preserve">Pracujeme s konsolidovanými výdaji, takže součet všech výdajů v našich datech odpovídá výdajům státního rozpočtu. V našich datech tedy jsou např. transfery státu obcím.</w:t>
      </w:r>
    </w:p>
    <w:bookmarkEnd w:id="132"/>
    <w:bookmarkStart w:id="133" w:name="členění-jaký-detail-můžeme-znát"/>
    <w:p>
      <w:pPr>
        <w:pStyle w:val="Heading4"/>
      </w:pPr>
      <w:r>
        <w:t xml:space="preserve">Členění: jaký detail můžeme znát</w:t>
      </w:r>
    </w:p>
    <w:p>
      <w:pPr>
        <w:pStyle w:val="FirstParagraph"/>
      </w:pPr>
      <w:r>
        <w:t xml:space="preserve">Data státní pokladny každou utracenou korunu identifikují pomocí několika různých členění. Výsledné datové sady tak poskytují velmi jemný rozpad výdají podle několika členění naráz. Každé členění má několik úrovní detailu, od cca 10 kategorií po několik set.</w:t>
      </w:r>
    </w:p>
    <w:p>
      <w:pPr>
        <w:numPr>
          <w:ilvl w:val="0"/>
          <w:numId w:val="1006"/>
        </w:numPr>
        <w:pStyle w:val="Compact"/>
      </w:pPr>
      <w:r>
        <w:t xml:space="preserve">odvětvové členění, tzv. paragrafy, tj. na jakou oblast (viděno sektorově)</w:t>
      </w:r>
    </w:p>
    <w:p>
      <w:pPr>
        <w:numPr>
          <w:ilvl w:val="0"/>
          <w:numId w:val="1006"/>
        </w:numPr>
        <w:pStyle w:val="Compact"/>
      </w:pPr>
      <w:r>
        <w:t xml:space="preserve">zodpovědnostní členění: kapitoly, tj. z rozpočtu kterého ministerstva, popř. konkrétní veřejné organizace, výdaje šly</w:t>
      </w:r>
    </w:p>
    <w:p>
      <w:pPr>
        <w:numPr>
          <w:ilvl w:val="0"/>
          <w:numId w:val="1006"/>
        </w:numPr>
        <w:pStyle w:val="Compact"/>
      </w:pPr>
      <w:r>
        <w:t xml:space="preserve">druhové členění: v nejvyšší hladině členění na běžné a kapitálové výdaje, dále na platy, transfery, nákupy atd.</w:t>
      </w:r>
    </w:p>
    <w:p>
      <w:pPr>
        <w:numPr>
          <w:ilvl w:val="0"/>
          <w:numId w:val="1006"/>
        </w:numPr>
        <w:pStyle w:val="Compact"/>
      </w:pPr>
      <w:r>
        <w:t xml:space="preserve">zdrojové třídění: kde se peníze vzaly? V základní úrovni ČR x mimo ČR, dále až na konkrétní programy vč. kofinancování</w:t>
      </w:r>
    </w:p>
    <w:p>
      <w:pPr>
        <w:pStyle w:val="FirstParagraph"/>
      </w:pPr>
      <w:r>
        <w:t xml:space="preserve">Této vícerozměrnosti dat využíváme jednak pro identifikaci peněz z ESIF (zdrojové třídění), jednak pro detailnější analýzy (např. kapitálové výdaje na transfery soukromému sektoru v oblasi energetiky).</w:t>
      </w:r>
    </w:p>
    <w:p>
      <w:pPr>
        <w:pStyle w:val="BodyText"/>
      </w:pPr>
      <w:r>
        <w:t xml:space="preserve">U zdrojového třídění data umožňují odlišit i období, tj. např. v roce 2015 lze odlišit OP D 2007-13 od OP D 2014-20.</w:t>
      </w:r>
    </w:p>
    <w:p>
      <w:pPr>
        <w:pStyle w:val="BodyText"/>
      </w:pPr>
      <w:r>
        <w:t xml:space="preserve">Odvětvové třídění je ale na úrovni pododdílů a paragrafů v některých oblastech nespolehlivé, kdy např. typově stejné výdaje jsou vykazovány v různých letech v jiných, někdy i zjevně nesprávných, paragrafech (regionální rozvoj; energetika) nebo jsou vykazovány v kategorii typu „jiné“ (doprava).</w:t>
      </w:r>
    </w:p>
    <w:bookmarkEnd w:id="133"/>
    <w:bookmarkStart w:id="134" w:name="X02599383ffc7fa856d008661593ddf6ede2f906"/>
    <w:p>
      <w:pPr>
        <w:pStyle w:val="Heading4"/>
      </w:pPr>
      <w:r>
        <w:t xml:space="preserve">Ve vztahu k datům o projektech ESIF z monitorovacího systému MMR-NOK</w:t>
      </w:r>
    </w:p>
    <w:p>
      <w:pPr>
        <w:pStyle w:val="FirstParagraph"/>
      </w:pPr>
      <w:r>
        <w:t xml:space="preserve">Ze státní pokladny lze dovodit operační program, ztrácí se ale vazba na projekty a tím i na kategorie používané v monitoringu ESIF, např. oblasti intervencí. Není tedy možné rozpočtová data provázat na kategorie oblastí nebo tematické cíle Dohody o partnerství.</w:t>
      </w:r>
    </w:p>
    <w:bookmarkEnd w:id="134"/>
    <w:bookmarkEnd w:id="135"/>
    <w:bookmarkStart w:id="136" w:name="dostupnost-a-omezení-dat"/>
    <w:p>
      <w:pPr>
        <w:pStyle w:val="Heading3"/>
      </w:pPr>
      <w:r>
        <w:t xml:space="preserve">Dostupnost a omezení dat</w:t>
      </w:r>
    </w:p>
    <w:tbl>
      <w:tblPr>
        <w:tblStyle w:val="Table"/>
        <w:tblW w:type="pct" w:w="5000"/>
        <w:tblLook w:firstRow="1" w:lastRow="0" w:firstColumn="0" w:lastColumn="0" w:noHBand="0" w:noVBand="0" w:val="0020"/>
      </w:tblPr>
      <w:tblGrid>
        <w:gridCol w:w="4525"/>
        <w:gridCol w:w="1244"/>
        <w:gridCol w:w="2149"/>
      </w:tblGrid>
      <w:tr>
        <w:trPr>
          <w:tblHeader w:val="true"/>
        </w:trPr>
        <w:tc>
          <w:tcPr/>
          <w:p>
            <w:pPr>
              <w:pStyle w:val="Compact"/>
              <w:jc w:val="left"/>
            </w:pPr>
            <w:r>
              <w:t xml:space="preserve">Okruh organizací</w:t>
            </w:r>
          </w:p>
        </w:tc>
        <w:tc>
          <w:tcPr/>
          <w:p>
            <w:pPr>
              <w:pStyle w:val="Compact"/>
              <w:jc w:val="left"/>
            </w:pPr>
            <w:r>
              <w:t xml:space="preserve">Roky</w:t>
            </w:r>
          </w:p>
        </w:tc>
        <w:tc>
          <w:tcPr/>
          <w:p>
            <w:pPr>
              <w:pStyle w:val="Compact"/>
              <w:jc w:val="left"/>
            </w:pPr>
            <w:r>
              <w:t xml:space="preserve">Identifikace ESIF</w:t>
            </w:r>
          </w:p>
        </w:tc>
      </w:tr>
      <w:tr>
        <w:tc>
          <w:tcPr/>
          <w:p>
            <w:pPr>
              <w:pStyle w:val="Compact"/>
              <w:jc w:val="left"/>
            </w:pPr>
            <w:r>
              <w:t xml:space="preserve">státní rozpočet</w:t>
            </w:r>
          </w:p>
        </w:tc>
        <w:tc>
          <w:tcPr/>
          <w:p>
            <w:pPr>
              <w:pStyle w:val="Compact"/>
              <w:jc w:val="left"/>
            </w:pPr>
            <w:r>
              <w:t xml:space="preserve">2015-2021</w:t>
            </w:r>
          </w:p>
        </w:tc>
        <w:tc>
          <w:tcPr/>
          <w:p>
            <w:pPr>
              <w:pStyle w:val="Compact"/>
              <w:jc w:val="left"/>
            </w:pPr>
            <w:r>
              <w:t xml:space="preserve">Ano</w:t>
            </w:r>
          </w:p>
        </w:tc>
      </w:tr>
      <w:tr>
        <w:tc>
          <w:tcPr/>
          <w:p>
            <w:pPr>
              <w:pStyle w:val="Compact"/>
              <w:jc w:val="left"/>
            </w:pPr>
            <w:r>
              <w:t xml:space="preserve">státní příspěvkové organizace</w:t>
            </w:r>
          </w:p>
        </w:tc>
        <w:tc>
          <w:tcPr/>
          <w:p>
            <w:pPr>
              <w:pStyle w:val="Compact"/>
              <w:jc w:val="left"/>
            </w:pPr>
            <w:r>
              <w:t xml:space="preserve">2010-2020</w:t>
            </w:r>
          </w:p>
        </w:tc>
        <w:tc>
          <w:tcPr/>
          <w:p>
            <w:pPr>
              <w:pStyle w:val="Compact"/>
              <w:jc w:val="left"/>
            </w:pPr>
            <w:r>
              <w:t xml:space="preserve">?</w:t>
            </w:r>
          </w:p>
        </w:tc>
      </w:tr>
      <w:tr>
        <w:tc>
          <w:tcPr/>
          <w:p>
            <w:pPr>
              <w:pStyle w:val="Compact"/>
              <w:jc w:val="left"/>
            </w:pPr>
            <w:r>
              <w:t xml:space="preserve">státní fondy</w:t>
            </w:r>
          </w:p>
        </w:tc>
        <w:tc>
          <w:tcPr/>
          <w:p>
            <w:pPr>
              <w:pStyle w:val="Compact"/>
              <w:jc w:val="left"/>
            </w:pPr>
            <w:r>
              <w:t xml:space="preserve">2015-2021</w:t>
            </w:r>
          </w:p>
        </w:tc>
        <w:tc>
          <w:tcPr/>
          <w:p>
            <w:pPr>
              <w:pStyle w:val="Compact"/>
              <w:jc w:val="left"/>
            </w:pPr>
            <w:r>
              <w:t xml:space="preserve">Ne</w:t>
            </w:r>
          </w:p>
        </w:tc>
      </w:tr>
      <w:tr>
        <w:tc>
          <w:tcPr/>
          <w:p>
            <w:pPr>
              <w:pStyle w:val="Compact"/>
              <w:jc w:val="left"/>
            </w:pPr>
            <w:r>
              <w:t xml:space="preserve">samosprávy a jimi zřizované organizace</w:t>
            </w:r>
          </w:p>
        </w:tc>
        <w:tc>
          <w:tcPr/>
          <w:p>
            <w:pPr>
              <w:pStyle w:val="Compact"/>
              <w:jc w:val="left"/>
            </w:pPr>
            <w:r>
              <w:t xml:space="preserve">2010-2021</w:t>
            </w:r>
          </w:p>
        </w:tc>
        <w:tc>
          <w:tcPr/>
          <w:p>
            <w:pPr>
              <w:pStyle w:val="Compact"/>
              <w:jc w:val="left"/>
            </w:pPr>
            <w:r>
              <w:t xml:space="preserve">Nepřímo</w:t>
            </w:r>
          </w:p>
        </w:tc>
      </w:tr>
    </w:tbl>
    <w:bookmarkEnd w:id="136"/>
    <w:bookmarkStart w:id="137" w:name="srovnatelnost-se-studií-z-roku-2017"/>
    <w:p>
      <w:pPr>
        <w:pStyle w:val="Heading3"/>
      </w:pPr>
      <w:r>
        <w:t xml:space="preserve">Srovnatelnost se studií z roku 2017</w:t>
      </w:r>
    </w:p>
    <w:p>
      <w:pPr>
        <w:pStyle w:val="FirstParagraph"/>
      </w:pPr>
      <w:r>
        <w:t xml:space="preserve">Hlavní rozdíly jsou tři:</w:t>
      </w:r>
    </w:p>
    <w:p>
      <w:pPr>
        <w:numPr>
          <w:ilvl w:val="0"/>
          <w:numId w:val="1007"/>
        </w:numPr>
        <w:pStyle w:val="Compact"/>
      </w:pPr>
      <w:r>
        <w:t xml:space="preserve">Studie z roku 2017 zahrnuje státní fondy: u státních fondů nejsou z veřejných zdrojů dostupná data o zdrojích výdajů, pro studii z roku 2017 vznikly velkým množstvím ruční kompilace interně na MF;</w:t>
      </w:r>
    </w:p>
    <w:p>
      <w:pPr>
        <w:numPr>
          <w:ilvl w:val="0"/>
          <w:numId w:val="1007"/>
        </w:numPr>
        <w:pStyle w:val="Compact"/>
      </w:pPr>
      <w:r>
        <w:t xml:space="preserve">studie z roku 2017 zahrnuje samosprávy: pro obce data o zdroji výdajů zřejmě nejsou přímo dostupná od roku 2015;</w:t>
      </w:r>
    </w:p>
    <w:p>
      <w:pPr>
        <w:numPr>
          <w:ilvl w:val="0"/>
          <w:numId w:val="1007"/>
        </w:numPr>
        <w:pStyle w:val="Compact"/>
      </w:pPr>
      <w:r>
        <w:t xml:space="preserve">studie z roku 2017 pracuje s vybraným okruhem výdajů podle odvětvového členění - vyloučeny jsou např. ty části druhového nebo odvětvového třídění, kde ESI fondy nehrají roli (např. sociální dávky), popř. které nebyly centrem zájmu studie (zemědělství).</w:t>
      </w:r>
    </w:p>
    <w:p>
      <w:pPr>
        <w:pStyle w:val="FirstParagraph"/>
      </w:pPr>
      <w:r>
        <w:t xml:space="preserve">Následky:</w:t>
      </w:r>
    </w:p>
    <w:p>
      <w:pPr>
        <w:pStyle w:val="BodyText"/>
      </w:pPr>
      <w:r>
        <w:t xml:space="preserve">Ad 1. Kategorie „ústředně řízení organizace“ ve studii z roku 2017 zahrnuje jiný okruh organizací; po roce 2015 u části těchto výdajů (státní fondy) neznáme rozdělení na ESIF a ostatní. Nicméně celkové součty výdajů pro „překryvový“ rok (kde máme data z obou zdrojů) cca odpovídají.</w:t>
      </w:r>
    </w:p>
    <w:p>
      <w:pPr>
        <w:pStyle w:val="BodyText"/>
      </w:pPr>
      <w:r>
        <w:t xml:space="preserve">Ad 2. O kategorii „místně řízených organizací“ tj. samospráv máme ohledně podílu ESIF jen nepřímá data a jejich kvalita spolehlivost zatím není jasná, proto je v této studii nevyužíváme, ale zkušenosti naznačují, že by mohla být využitelná pro analogickou analýzu samospráv.</w:t>
      </w:r>
    </w:p>
    <w:p>
      <w:pPr>
        <w:pStyle w:val="BodyText"/>
      </w:pPr>
      <w:r>
        <w:t xml:space="preserve">Ad 3. V příloze 1 ukazujeme výpočty pro odvětvové vymezení stejné jako je ve studii z roku 2017.</w:t>
      </w:r>
    </w:p>
    <w:bookmarkEnd w:id="137"/>
    <w:bookmarkEnd w:id="138"/>
    <w:bookmarkEnd w:id="139"/>
    <w:bookmarkStart w:id="182" w:name="použitá-literatura-data-a-nástroje"/>
    <w:p>
      <w:pPr>
        <w:pStyle w:val="Heading1"/>
      </w:pPr>
      <w:r>
        <w:t xml:space="preserve">Použitá literatura, data a nástroje</w:t>
      </w:r>
    </w:p>
    <w:bookmarkStart w:id="181" w:name="refs"/>
    <w:bookmarkStart w:id="141" w:name="ref-R-rmarkdown"/>
    <w:p>
      <w:pPr>
        <w:pStyle w:val="Bibliography"/>
      </w:pPr>
      <w:r>
        <w:t xml:space="preserve">Allaire, JJ, Yihui Xie, Jonathan McPherson, Javier Luraschi, Kevin Ushey, Aron Atkins, Hadley Wickham, Joe Cheng, Winston Chang, a Richard Iannone. 2021.</w:t>
      </w:r>
      <w:r>
        <w:t xml:space="preserve"> </w:t>
      </w:r>
      <w:r>
        <w:rPr>
          <w:iCs/>
          <w:i/>
        </w:rPr>
        <w:t xml:space="preserve">rmarkdown: Dynamic Documents for R</w:t>
      </w:r>
      <w:r>
        <w:t xml:space="preserve">.</w:t>
      </w:r>
      <w:r>
        <w:t xml:space="preserve"> </w:t>
      </w:r>
      <w:hyperlink r:id="rId140">
        <w:r>
          <w:rPr>
            <w:rStyle w:val="Hyperlink"/>
          </w:rPr>
          <w:t xml:space="preserve">https://CRAN.R-project.org/package=rmarkdown</w:t>
        </w:r>
      </w:hyperlink>
      <w:r>
        <w:t xml:space="preserve">.</w:t>
      </w:r>
    </w:p>
    <w:bookmarkEnd w:id="141"/>
    <w:bookmarkStart w:id="142" w:name="ref-R-statnipokladna"/>
    <w:p>
      <w:pPr>
        <w:pStyle w:val="Bibliography"/>
      </w:pPr>
      <w:r>
        <w:t xml:space="preserve">Bouchal, Petr. 2021.</w:t>
      </w:r>
      <w:r>
        <w:t xml:space="preserve"> </w:t>
      </w:r>
      <w:r>
        <w:rPr>
          <w:iCs/>
          <w:i/>
        </w:rPr>
        <w:t xml:space="preserve">statnipokladna: Use Data from the Czech Public Finance Database</w:t>
      </w:r>
      <w:r>
        <w:t xml:space="preserve">.</w:t>
      </w:r>
    </w:p>
    <w:bookmarkEnd w:id="142"/>
    <w:bookmarkStart w:id="144" w:name="ref-R-janitor"/>
    <w:p>
      <w:pPr>
        <w:pStyle w:val="Bibliography"/>
      </w:pPr>
      <w:r>
        <w:t xml:space="preserve">Firke, Sam. 2020.</w:t>
      </w:r>
      <w:r>
        <w:t xml:space="preserve"> </w:t>
      </w:r>
      <w:r>
        <w:rPr>
          <w:iCs/>
          <w:i/>
        </w:rPr>
        <w:t xml:space="preserve">janitor: Simple Tools for Examining and Cleaning Dirty Data</w:t>
      </w:r>
      <w:r>
        <w:t xml:space="preserve">.</w:t>
      </w:r>
      <w:r>
        <w:t xml:space="preserve"> </w:t>
      </w:r>
      <w:hyperlink r:id="rId143">
        <w:r>
          <w:rPr>
            <w:rStyle w:val="Hyperlink"/>
          </w:rPr>
          <w:t xml:space="preserve">https://github.com/sfirke/janitor</w:t>
        </w:r>
      </w:hyperlink>
      <w:r>
        <w:t xml:space="preserve">.</w:t>
      </w:r>
    </w:p>
    <w:bookmarkEnd w:id="144"/>
    <w:bookmarkStart w:id="146" w:name="ref-lubridate2011"/>
    <w:p>
      <w:pPr>
        <w:pStyle w:val="Bibliography"/>
      </w:pPr>
      <w:r>
        <w:t xml:space="preserve">Grolemund, Garrett, a Hadley Wickham. 2011.</w:t>
      </w:r>
      <w:r>
        <w:t xml:space="preserve"> </w:t>
      </w:r>
      <w:r>
        <w:t xml:space="preserve">„Dates and Times Made Easy with</w:t>
      </w:r>
      <w:r>
        <w:t xml:space="preserve"> </w:t>
      </w:r>
      <w:r>
        <w:t xml:space="preserve">lubridate</w:t>
      </w:r>
      <w:r>
        <w:t xml:space="preserve">"</w:t>
      </w:r>
      <w:r>
        <w:t xml:space="preserve">.</w:t>
      </w:r>
      <w:r>
        <w:t xml:space="preserve"> </w:t>
      </w:r>
      <w:r>
        <w:rPr>
          <w:iCs/>
          <w:i/>
        </w:rPr>
        <w:t xml:space="preserve">Journal of Statistical Software</w:t>
      </w:r>
      <w:r>
        <w:t xml:space="preserve"> </w:t>
      </w:r>
      <w:r>
        <w:t xml:space="preserve">40 (3): 1–25.</w:t>
      </w:r>
      <w:r>
        <w:t xml:space="preserve"> </w:t>
      </w:r>
      <w:hyperlink r:id="rId145">
        <w:r>
          <w:rPr>
            <w:rStyle w:val="Hyperlink"/>
          </w:rPr>
          <w:t xml:space="preserve">https://www.jstatsoft.org/v40/i03/</w:t>
        </w:r>
      </w:hyperlink>
      <w:r>
        <w:t xml:space="preserve">.</w:t>
      </w:r>
    </w:p>
    <w:bookmarkEnd w:id="146"/>
    <w:bookmarkStart w:id="148" w:name="ref-R-pointblank"/>
    <w:p>
      <w:pPr>
        <w:pStyle w:val="Bibliography"/>
      </w:pPr>
      <w:r>
        <w:t xml:space="preserve">Iannone, Richard, a Mauricio Vargas. 2021.</w:t>
      </w:r>
      <w:r>
        <w:t xml:space="preserve"> </w:t>
      </w:r>
      <w:r>
        <w:rPr>
          <w:iCs/>
          <w:i/>
        </w:rPr>
        <w:t xml:space="preserve">pointblank: Data Validation and Organization of Metadata for Local and Remote Tables</w:t>
      </w:r>
      <w:r>
        <w:t xml:space="preserve">.</w:t>
      </w:r>
      <w:r>
        <w:t xml:space="preserve"> </w:t>
      </w:r>
      <w:hyperlink r:id="rId147">
        <w:r>
          <w:rPr>
            <w:rStyle w:val="Hyperlink"/>
          </w:rPr>
          <w:t xml:space="preserve">https://CRAN.R-project.org/package=pointblank</w:t>
        </w:r>
      </w:hyperlink>
      <w:r>
        <w:t xml:space="preserve">.</w:t>
      </w:r>
    </w:p>
    <w:bookmarkEnd w:id="148"/>
    <w:bookmarkStart w:id="149" w:name="ref-R-targets"/>
    <w:p>
      <w:pPr>
        <w:pStyle w:val="Bibliography"/>
      </w:pPr>
      <w:r>
        <w:t xml:space="preserve">Landau, William Michael. 2021a.</w:t>
      </w:r>
      <w:r>
        <w:t xml:space="preserve"> </w:t>
      </w:r>
      <w:r>
        <w:rPr>
          <w:iCs/>
          <w:i/>
        </w:rPr>
        <w:t xml:space="preserve">targets: Dynamic Function-Oriented Make-Like Declarative Workflows</w:t>
      </w:r>
      <w:r>
        <w:t xml:space="preserve">.</w:t>
      </w:r>
    </w:p>
    <w:bookmarkEnd w:id="149"/>
    <w:bookmarkStart w:id="151" w:name="ref-targets2021"/>
    <w:p>
      <w:pPr>
        <w:pStyle w:val="Bibliography"/>
      </w:pPr>
      <w:r>
        <w:t xml:space="preserve">———. 2021b.</w:t>
      </w:r>
      <w:r>
        <w:t xml:space="preserve"> </w:t>
      </w:r>
      <w:r>
        <w:t xml:space="preserve">„The targets R package: a dynamic Make-like function-oriented pipeline toolkit for reproducibility and high-performance computing"</w:t>
      </w:r>
      <w:r>
        <w:t xml:space="preserve">.</w:t>
      </w:r>
      <w:r>
        <w:t xml:space="preserve"> </w:t>
      </w:r>
      <w:r>
        <w:rPr>
          <w:iCs/>
          <w:i/>
        </w:rPr>
        <w:t xml:space="preserve">Journal of Open Source Software</w:t>
      </w:r>
      <w:r>
        <w:t xml:space="preserve"> </w:t>
      </w:r>
      <w:r>
        <w:t xml:space="preserve">6 (57): 2959.</w:t>
      </w:r>
      <w:r>
        <w:t xml:space="preserve"> </w:t>
      </w:r>
      <w:hyperlink r:id="rId150">
        <w:r>
          <w:rPr>
            <w:rStyle w:val="Hyperlink"/>
          </w:rPr>
          <w:t xml:space="preserve">https://doi.org/10.21105/joss.02959</w:t>
        </w:r>
      </w:hyperlink>
      <w:r>
        <w:t xml:space="preserve">.</w:t>
      </w:r>
    </w:p>
    <w:bookmarkEnd w:id="151"/>
    <w:bookmarkStart w:id="153" w:name="X8ee745528ca71583fc1de04ae4dcf660c40ff21"/>
    <w:p>
      <w:pPr>
        <w:pStyle w:val="Bibliography"/>
      </w:pPr>
      <w:r>
        <w:t xml:space="preserve">Ministerstvo pro místní rozvoj. 2017.</w:t>
      </w:r>
      <w:r>
        <w:t xml:space="preserve"> </w:t>
      </w:r>
      <w:r>
        <w:t xml:space="preserve">„Veřejné výdaje a fondy EU 2007–2015"</w:t>
      </w:r>
      <w:r>
        <w:t xml:space="preserve">. Praha: Ministerstvo pro místní rozvoj.</w:t>
      </w:r>
      <w:r>
        <w:t xml:space="preserve"> </w:t>
      </w:r>
      <w:hyperlink r:id="rId152">
        <w:r>
          <w:rPr>
            <w:rStyle w:val="Hyperlink"/>
          </w:rPr>
          <w:t xml:space="preserve">https://dotaceeu.cz/cs/evropske-fondy-v-cr/narodni-organ-pro-koordinaci/evaluace/knihovna-evaluaci/verejne-vydaje-a-fondy-eu-2007%e2%80%932015</w:t>
        </w:r>
      </w:hyperlink>
      <w:r>
        <w:t xml:space="preserve">.</w:t>
      </w:r>
    </w:p>
    <w:bookmarkEnd w:id="153"/>
    <w:bookmarkStart w:id="155" w:name="ref-MonitorInformacniPortal"/>
    <w:p>
      <w:pPr>
        <w:pStyle w:val="Bibliography"/>
      </w:pPr>
      <w:r>
        <w:t xml:space="preserve">„Monitor - informační portál Ministerstva financí"</w:t>
      </w:r>
      <w:r>
        <w:t xml:space="preserve">. b.r. Viděno 19. listopad 2020.</w:t>
      </w:r>
      <w:r>
        <w:t xml:space="preserve"> </w:t>
      </w:r>
      <w:hyperlink r:id="rId154">
        <w:r>
          <w:rPr>
            <w:rStyle w:val="Hyperlink"/>
          </w:rPr>
          <w:t xml:space="preserve">https://monitor.statnipokladna.cz/</w:t>
        </w:r>
      </w:hyperlink>
      <w:r>
        <w:t xml:space="preserve">.</w:t>
      </w:r>
    </w:p>
    <w:bookmarkEnd w:id="155"/>
    <w:bookmarkStart w:id="157" w:name="ref-R-base"/>
    <w:p>
      <w:pPr>
        <w:pStyle w:val="Bibliography"/>
      </w:pPr>
      <w:r>
        <w:t xml:space="preserve">R Core Team. 2021.</w:t>
      </w:r>
      <w:r>
        <w:t xml:space="preserve"> </w:t>
      </w:r>
      <w:r>
        <w:rPr>
          <w:iCs/>
          <w:i/>
        </w:rPr>
        <w:t xml:space="preserve">R: A Language and Environment for Statistical Computing</w:t>
      </w:r>
      <w:r>
        <w:t xml:space="preserve">. Vienna, Austria: R Foundation for Statistical Computing.</w:t>
      </w:r>
      <w:r>
        <w:t xml:space="preserve"> </w:t>
      </w:r>
      <w:hyperlink r:id="rId156">
        <w:r>
          <w:rPr>
            <w:rStyle w:val="Hyperlink"/>
          </w:rPr>
          <w:t xml:space="preserve">https://www.R-project.org/</w:t>
        </w:r>
      </w:hyperlink>
      <w:r>
        <w:t xml:space="preserve">.</w:t>
      </w:r>
    </w:p>
    <w:bookmarkEnd w:id="157"/>
    <w:bookmarkStart w:id="159" w:name="ref-R-arrow"/>
    <w:p>
      <w:pPr>
        <w:pStyle w:val="Bibliography"/>
      </w:pPr>
      <w:r>
        <w:t xml:space="preserve">Richardson, Neal, Ian Cook, Nic Crane, Jonathan Keane, Romain François, Jeroen Ooms, a Apache Arrow. 2022.</w:t>
      </w:r>
      <w:r>
        <w:t xml:space="preserve"> </w:t>
      </w:r>
      <w:r>
        <w:rPr>
          <w:iCs/>
          <w:i/>
        </w:rPr>
        <w:t xml:space="preserve">arrow: Integration to Apache ’Arrow’</w:t>
      </w:r>
      <w:r>
        <w:t xml:space="preserve">.</w:t>
      </w:r>
      <w:r>
        <w:t xml:space="preserve"> </w:t>
      </w:r>
      <w:hyperlink r:id="rId158">
        <w:r>
          <w:rPr>
            <w:rStyle w:val="Hyperlink"/>
          </w:rPr>
          <w:t xml:space="preserve">https://CRAN.R-project.org/package=arrow</w:t>
        </w:r>
      </w:hyperlink>
      <w:r>
        <w:t xml:space="preserve">.</w:t>
      </w:r>
    </w:p>
    <w:bookmarkEnd w:id="159"/>
    <w:bookmarkStart w:id="160" w:name="ref-R-lubridate"/>
    <w:p>
      <w:pPr>
        <w:pStyle w:val="Bibliography"/>
      </w:pPr>
      <w:r>
        <w:t xml:space="preserve">Spinu, Vitalie, Garrett Grolemund, a Hadley Wickham. 2021.</w:t>
      </w:r>
      <w:r>
        <w:t xml:space="preserve"> </w:t>
      </w:r>
      <w:r>
        <w:rPr>
          <w:iCs/>
          <w:i/>
        </w:rPr>
        <w:t xml:space="preserve">lubridate: Make Dealing with Dates a Little Easier</w:t>
      </w:r>
      <w:r>
        <w:t xml:space="preserve">.</w:t>
      </w:r>
    </w:p>
    <w:bookmarkEnd w:id="160"/>
    <w:bookmarkStart w:id="162" w:name="ref-ggplot22016"/>
    <w:p>
      <w:pPr>
        <w:pStyle w:val="Bibliography"/>
      </w:pPr>
      <w:r>
        <w:t xml:space="preserve">Wickham, Hadley. 2016.</w:t>
      </w:r>
      <w:r>
        <w:t xml:space="preserve"> </w:t>
      </w:r>
      <w:r>
        <w:rPr>
          <w:iCs/>
          <w:i/>
        </w:rPr>
        <w:t xml:space="preserve">ggplot2: Elegant Graphics for Data Analysis</w:t>
      </w:r>
      <w:r>
        <w:t xml:space="preserve">. Springer-Verlag New York.</w:t>
      </w:r>
      <w:r>
        <w:t xml:space="preserve"> </w:t>
      </w:r>
      <w:hyperlink r:id="rId161">
        <w:r>
          <w:rPr>
            <w:rStyle w:val="Hyperlink"/>
          </w:rPr>
          <w:t xml:space="preserve">https://ggplot2.tidyverse.org</w:t>
        </w:r>
      </w:hyperlink>
      <w:r>
        <w:t xml:space="preserve">.</w:t>
      </w:r>
    </w:p>
    <w:bookmarkEnd w:id="162"/>
    <w:bookmarkStart w:id="164" w:name="ref-R-stringr"/>
    <w:p>
      <w:pPr>
        <w:pStyle w:val="Bibliography"/>
      </w:pPr>
      <w:r>
        <w:t xml:space="preserve">———. 2019.</w:t>
      </w:r>
      <w:r>
        <w:t xml:space="preserve"> </w:t>
      </w:r>
      <w:r>
        <w:rPr>
          <w:iCs/>
          <w:i/>
        </w:rPr>
        <w:t xml:space="preserve">stringr: Simple, Consistent Wrappers for Common String Operations</w:t>
      </w:r>
      <w:r>
        <w:t xml:space="preserve">.</w:t>
      </w:r>
      <w:r>
        <w:t xml:space="preserve"> </w:t>
      </w:r>
      <w:hyperlink r:id="rId163">
        <w:r>
          <w:rPr>
            <w:rStyle w:val="Hyperlink"/>
          </w:rPr>
          <w:t xml:space="preserve">https://CRAN.R-project.org/package=stringr</w:t>
        </w:r>
      </w:hyperlink>
      <w:r>
        <w:t xml:space="preserve">.</w:t>
      </w:r>
    </w:p>
    <w:bookmarkEnd w:id="164"/>
    <w:bookmarkStart w:id="166" w:name="ref-R-forcats"/>
    <w:p>
      <w:pPr>
        <w:pStyle w:val="Bibliography"/>
      </w:pPr>
      <w:r>
        <w:t xml:space="preserve">———. 2020.</w:t>
      </w:r>
      <w:r>
        <w:t xml:space="preserve"> </w:t>
      </w:r>
      <w:r>
        <w:rPr>
          <w:iCs/>
          <w:i/>
        </w:rPr>
        <w:t xml:space="preserve">forcats: Tools for Working with Categorical Variables (Factors)</w:t>
      </w:r>
      <w:r>
        <w:t xml:space="preserve">.</w:t>
      </w:r>
      <w:r>
        <w:t xml:space="preserve"> </w:t>
      </w:r>
      <w:hyperlink r:id="rId165">
        <w:r>
          <w:rPr>
            <w:rStyle w:val="Hyperlink"/>
          </w:rPr>
          <w:t xml:space="preserve">https://CRAN.R-project.org/package=forcats</w:t>
        </w:r>
      </w:hyperlink>
      <w:r>
        <w:t xml:space="preserve">.</w:t>
      </w:r>
    </w:p>
    <w:bookmarkEnd w:id="166"/>
    <w:bookmarkStart w:id="168" w:name="ref-R-tidyr"/>
    <w:p>
      <w:pPr>
        <w:pStyle w:val="Bibliography"/>
      </w:pPr>
      <w:r>
        <w:t xml:space="preserve">———. 2021.</w:t>
      </w:r>
      <w:r>
        <w:t xml:space="preserve"> </w:t>
      </w:r>
      <w:r>
        <w:rPr>
          <w:iCs/>
          <w:i/>
        </w:rPr>
        <w:t xml:space="preserve">tidyr: Tidy Messy Data</w:t>
      </w:r>
      <w:r>
        <w:t xml:space="preserve">.</w:t>
      </w:r>
      <w:r>
        <w:t xml:space="preserve"> </w:t>
      </w:r>
      <w:hyperlink r:id="rId167">
        <w:r>
          <w:rPr>
            <w:rStyle w:val="Hyperlink"/>
          </w:rPr>
          <w:t xml:space="preserve">https://CRAN.R-project.org/package=tidyr</w:t>
        </w:r>
      </w:hyperlink>
      <w:r>
        <w:t xml:space="preserve">.</w:t>
      </w:r>
    </w:p>
    <w:bookmarkEnd w:id="168"/>
    <w:bookmarkStart w:id="170" w:name="ref-R-readxl"/>
    <w:p>
      <w:pPr>
        <w:pStyle w:val="Bibliography"/>
      </w:pPr>
      <w:r>
        <w:t xml:space="preserve">Wickham, Hadley, a Jennifer Bryan. 2019.</w:t>
      </w:r>
      <w:r>
        <w:t xml:space="preserve"> </w:t>
      </w:r>
      <w:r>
        <w:rPr>
          <w:iCs/>
          <w:i/>
        </w:rPr>
        <w:t xml:space="preserve">readxl: Read Excel Files</w:t>
      </w:r>
      <w:r>
        <w:t xml:space="preserve">.</w:t>
      </w:r>
      <w:r>
        <w:t xml:space="preserve"> </w:t>
      </w:r>
      <w:hyperlink r:id="rId169">
        <w:r>
          <w:rPr>
            <w:rStyle w:val="Hyperlink"/>
          </w:rPr>
          <w:t xml:space="preserve">https://CRAN.R-project.org/package=readxl</w:t>
        </w:r>
      </w:hyperlink>
      <w:r>
        <w:t xml:space="preserve">.</w:t>
      </w:r>
    </w:p>
    <w:bookmarkEnd w:id="170"/>
    <w:bookmarkStart w:id="172" w:name="ref-R-dplyr"/>
    <w:p>
      <w:pPr>
        <w:pStyle w:val="Bibliography"/>
      </w:pPr>
      <w:r>
        <w:t xml:space="preserve">Wickham, Hadley, Romain François, Lionel Henry, a Kirill Müller. 2021.</w:t>
      </w:r>
      <w:r>
        <w:t xml:space="preserve"> </w:t>
      </w:r>
      <w:r>
        <w:rPr>
          <w:iCs/>
          <w:i/>
        </w:rPr>
        <w:t xml:space="preserve">dplyr: A Grammar of Data Manipulation</w:t>
      </w:r>
      <w:r>
        <w:t xml:space="preserve">.</w:t>
      </w:r>
      <w:r>
        <w:t xml:space="preserve"> </w:t>
      </w:r>
      <w:hyperlink r:id="rId171">
        <w:r>
          <w:rPr>
            <w:rStyle w:val="Hyperlink"/>
          </w:rPr>
          <w:t xml:space="preserve">https://CRAN.R-project.org/package=dplyr</w:t>
        </w:r>
      </w:hyperlink>
      <w:r>
        <w:t xml:space="preserve">.</w:t>
      </w:r>
    </w:p>
    <w:bookmarkEnd w:id="172"/>
    <w:bookmarkStart w:id="174" w:name="ref-R-readr"/>
    <w:p>
      <w:pPr>
        <w:pStyle w:val="Bibliography"/>
      </w:pPr>
      <w:r>
        <w:t xml:space="preserve">Wickham, Hadley, a Jim Hester. 2021.</w:t>
      </w:r>
      <w:r>
        <w:t xml:space="preserve"> </w:t>
      </w:r>
      <w:r>
        <w:rPr>
          <w:iCs/>
          <w:i/>
        </w:rPr>
        <w:t xml:space="preserve">readr: Read Rectangular Text Data</w:t>
      </w:r>
      <w:r>
        <w:t xml:space="preserve">.</w:t>
      </w:r>
      <w:r>
        <w:t xml:space="preserve"> </w:t>
      </w:r>
      <w:hyperlink r:id="rId173">
        <w:r>
          <w:rPr>
            <w:rStyle w:val="Hyperlink"/>
          </w:rPr>
          <w:t xml:space="preserve">https://CRAN.R-project.org/package=readr</w:t>
        </w:r>
      </w:hyperlink>
      <w:r>
        <w:t xml:space="preserve">.</w:t>
      </w:r>
    </w:p>
    <w:bookmarkEnd w:id="174"/>
    <w:bookmarkStart w:id="176" w:name="ref-R-ggplot2"/>
    <w:p>
      <w:pPr>
        <w:pStyle w:val="Bibliography"/>
      </w:pPr>
      <w:r>
        <w:t xml:space="preserve">Wickham, Hadley, Winston Chang, Lionel Henry, Thomas Lin Pedersen, Kohske Takahashi, Claus Wilke, Kara Woo, Hiroaki Yutani, a Dewey Dunnington. 2020.</w:t>
      </w:r>
      <w:r>
        <w:t xml:space="preserve"> </w:t>
      </w:r>
      <w:r>
        <w:rPr>
          <w:iCs/>
          <w:i/>
        </w:rPr>
        <w:t xml:space="preserve">ggplot2: Create Elegant Data Visualisations Using the Grammar of Graphics</w:t>
      </w:r>
      <w:r>
        <w:t xml:space="preserve">.</w:t>
      </w:r>
      <w:r>
        <w:t xml:space="preserve"> </w:t>
      </w:r>
      <w:hyperlink r:id="rId175">
        <w:r>
          <w:rPr>
            <w:rStyle w:val="Hyperlink"/>
          </w:rPr>
          <w:t xml:space="preserve">https://CRAN.R-project.org/package=ggplot2</w:t>
        </w:r>
      </w:hyperlink>
      <w:r>
        <w:t xml:space="preserve">.</w:t>
      </w:r>
    </w:p>
    <w:bookmarkEnd w:id="176"/>
    <w:bookmarkStart w:id="178" w:name="ref-rmarkdown2018"/>
    <w:p>
      <w:pPr>
        <w:pStyle w:val="Bibliography"/>
      </w:pPr>
      <w:r>
        <w:t xml:space="preserve">Xie, Yihui, J. J. Allaire, a Garrett Grolemund. 2018.</w:t>
      </w:r>
      <w:r>
        <w:t xml:space="preserve"> </w:t>
      </w:r>
      <w:r>
        <w:rPr>
          <w:iCs/>
          <w:i/>
        </w:rPr>
        <w:t xml:space="preserve">R Markdown: The Definitive Guide</w:t>
      </w:r>
      <w:r>
        <w:t xml:space="preserve">. Boca Raton, Florida: Chapman; Hall/CRC.</w:t>
      </w:r>
      <w:r>
        <w:t xml:space="preserve"> </w:t>
      </w:r>
      <w:hyperlink r:id="rId177">
        <w:r>
          <w:rPr>
            <w:rStyle w:val="Hyperlink"/>
          </w:rPr>
          <w:t xml:space="preserve">https://bookdown.org/yihui/rmarkdown</w:t>
        </w:r>
      </w:hyperlink>
      <w:r>
        <w:t xml:space="preserve">.</w:t>
      </w:r>
    </w:p>
    <w:bookmarkEnd w:id="178"/>
    <w:bookmarkStart w:id="180" w:name="ref-rmarkdown2020"/>
    <w:p>
      <w:pPr>
        <w:pStyle w:val="Bibliography"/>
      </w:pPr>
      <w:r>
        <w:t xml:space="preserve">Xie, Yihui, Christophe Dervieux, a Emily Riederer. 2020.</w:t>
      </w:r>
      <w:r>
        <w:t xml:space="preserve"> </w:t>
      </w:r>
      <w:r>
        <w:rPr>
          <w:iCs/>
          <w:i/>
        </w:rPr>
        <w:t xml:space="preserve">R Markdown Cookbook</w:t>
      </w:r>
      <w:r>
        <w:t xml:space="preserve">. Boca Raton, Florida: Chapman; Hall/CRC.</w:t>
      </w:r>
      <w:r>
        <w:t xml:space="preserve"> </w:t>
      </w:r>
      <w:hyperlink r:id="rId179">
        <w:r>
          <w:rPr>
            <w:rStyle w:val="Hyperlink"/>
          </w:rPr>
          <w:t xml:space="preserve">https://bookdown.org/yihui/rmarkdown-cookbook</w:t>
        </w:r>
      </w:hyperlink>
      <w:r>
        <w:t xml:space="preserve">.</w:t>
      </w:r>
    </w:p>
    <w:bookmarkEnd w:id="180"/>
    <w:bookmarkEnd w:id="181"/>
    <w:bookmarkEnd w:id="182"/>
    <w:bookmarkStart w:id="183" w:name="upozornění"/>
    <w:p>
      <w:pPr>
        <w:pStyle w:val="Heading1"/>
      </w:pPr>
      <w:r>
        <w:t xml:space="preserve">Upozornění</w:t>
      </w:r>
    </w:p>
    <w:p>
      <w:pPr>
        <w:pStyle w:val="FirstParagraph"/>
      </w:pPr>
      <w:r>
        <w:rPr>
          <w:bCs/>
          <w:b/>
        </w:rPr>
        <w:t xml:space="preserve">Tento podklad Sekce pro evropské záležitosti</w:t>
      </w:r>
      <w:r>
        <w:t xml:space="preserve"> </w:t>
      </w:r>
      <w:r>
        <w:t xml:space="preserve">Úřadu vlády (SEZ) byl zpracován v rámci Oddělení evropských programů a fondů, Odboru věcných politik EU. Slouží jako komplexní podklad k tématům s ekonomickou a evropskou relevancí. Analytický dokument je informačním materiálem k debatě pro odbornou i širokou veřejnost. Plní roli diskuzního podkladu a nepředstavuje pozici SEZ ÚV.</w:t>
      </w:r>
    </w:p>
    <w:bookmarkEnd w:id="183"/>
    <w:sectPr w:rsidR="00890944" w:rsidRPr="00FD6177" w:rsidSect="00C33E82">
      <w:footerReference r:id="rId17" w:type="even"/>
      <w:footerReference r:id="rId15" w:type="default"/>
      <w:headerReference r:id="rId10" w:type="first"/>
      <w:footerReference r:id="rId13" w:type="first"/>
      <w:type w:val="continuous"/>
      <w:pgSz w:h="16840" w:w="11900"/>
      <w:pgMar w:bottom="1170" w:footer="567" w:gutter="0" w:header="567" w:left="1588" w:right="1460" w:top="851"/>
      <w:cols w:space="708"/>
      <w:titlePg/>
      <w:docGrid w:linePitch="299"/>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Arial"/>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3EA7F" w14:textId="2AEE4020" w:rsidR="00E657C4" w:rsidRDefault="00E657C4" w:rsidP="005356FB">
    <w:pPr>
      <w:framePr w:wrap="around" w:vAnchor="text" w:hAnchor="page" w:x="1702" w:y="20"/>
      <w:rPr>
        <w:rStyle w:val="PageNumber"/>
      </w:rPr>
    </w:pPr>
    <w:r>
      <w:rPr>
        <w:rStyle w:val="PageNumber"/>
      </w:rPr>
      <w:fldChar w:fldCharType="begin"/>
    </w:r>
    <w:r>
      <w:rPr>
        <w:rStyle w:val="PageNumber"/>
      </w:rPr>
      <w:instrText xml:space="preserve">PAGE  </w:instrText>
    </w:r>
    <w:r>
      <w:rPr>
        <w:rStyle w:val="PageNumber"/>
      </w:rPr>
      <w:fldChar w:fldCharType="separate"/>
    </w:r>
    <w:r w:rsidR="00E30BD2">
      <w:rPr>
        <w:rStyle w:val="PageNumber"/>
        <w:noProof/>
      </w:rPr>
      <w:t>18</w:t>
    </w:r>
    <w:r>
      <w:rPr>
        <w:rStyle w:val="PageNumber"/>
      </w:rPr>
      <w:fldChar w:fldCharType="end"/>
    </w:r>
  </w:p>
  <w:p w14:paraId="1207F85C" w14:textId="4E560B7D" w:rsidR="00E657C4" w:rsidRPr="00A73944" w:rsidRDefault="00E657C4" w:rsidP="00A154C6">
    <w:pPr>
      <w:tabs>
        <w:tab w:val="right" w:pos="8080"/>
      </w:tabs>
      <w:ind w:right="360" w:firstLine="360"/>
      <w:jc w:val="left"/>
      <w:rPr>
        <w:smallCaps/>
      </w:rPr>
    </w:pPr>
    <w:r>
      <w:rPr>
        <w:smallCaps/>
      </w:rPr>
      <w:tab/>
    </w:r>
    <w:r w:rsidR="002167C8">
      <w:rPr>
        <w:smallCaps/>
      </w:rPr>
      <w:t>Role ESI fondů ve výdajích státního rozpočtu 2015-2020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CA06C" w14:textId="77777777" w:rsidR="00E657C4" w:rsidRDefault="00E657C4" w:rsidP="00D25151">
    <w:pPr>
      <w:tabs>
        <w:tab w:val="right" w:pos="8789"/>
      </w:tabs>
      <w:ind w:right="474"/>
      <w:jc w:val="left"/>
    </w:pPr>
  </w:p>
  <w:p w14:paraId="7A9336A2" w14:textId="203FA134" w:rsidR="00E657C4" w:rsidRDefault="00E657C4" w:rsidP="00A154C6">
    <w:pPr>
      <w:framePr w:wrap="around" w:vAnchor="text" w:hAnchor="page" w:x="10126" w:y="2"/>
      <w:rPr>
        <w:rStyle w:val="PageNumber"/>
      </w:rPr>
    </w:pPr>
    <w:r>
      <w:rPr>
        <w:rStyle w:val="PageNumber"/>
      </w:rPr>
      <w:fldChar w:fldCharType="begin"/>
    </w:r>
    <w:r>
      <w:rPr>
        <w:rStyle w:val="PageNumber"/>
      </w:rPr>
      <w:instrText xml:space="preserve">PAGE  </w:instrText>
    </w:r>
    <w:r>
      <w:rPr>
        <w:rStyle w:val="PageNumber"/>
      </w:rPr>
      <w:fldChar w:fldCharType="separate"/>
    </w:r>
    <w:r w:rsidR="00E30BD2">
      <w:rPr>
        <w:rStyle w:val="PageNumber"/>
        <w:noProof/>
      </w:rPr>
      <w:t>19</w:t>
    </w:r>
    <w:r>
      <w:rPr>
        <w:rStyle w:val="PageNumber"/>
      </w:rPr>
      <w:fldChar w:fldCharType="end"/>
    </w:r>
  </w:p>
  <w:p w14:paraId="7CA3D82A" w14:textId="7749A25A" w:rsidR="00E657C4" w:rsidRPr="00A73944" w:rsidRDefault="00E657C4" w:rsidP="005356FB">
    <w:pPr>
      <w:tabs>
        <w:tab w:val="left" w:pos="567"/>
        <w:tab w:val="right" w:pos="7088"/>
      </w:tabs>
      <w:ind w:right="360"/>
      <w:jc w:val="left"/>
      <w:rPr>
        <w:smallCaps/>
      </w:rPr>
    </w:pPr>
    <w:r>
      <w:rPr>
        <w:smallCaps/>
      </w:rPr>
      <w:t>PODKLADOVÝ MATERIÁL ÚV ČR (SEZ)</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4759E" w14:textId="77777777" w:rsidR="00E657C4" w:rsidRDefault="00E657C4" w:rsidP="00A67C89">
    <w:pPr>
      <w:ind w:right="357"/>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8A4D" w14:textId="77777777" w:rsidR="00820272" w:rsidRDefault="0082027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23135" w14:textId="77777777" w:rsidR="00820272" w:rsidRDefault="0082027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D358D" w14:textId="77777777" w:rsidR="00E657C4" w:rsidRPr="00C6752B" w:rsidRDefault="00E657C4" w:rsidP="00D4599F">
    <w:pPr>
      <w:tabs>
        <w:tab w:val="right" w:pos="7088"/>
      </w:tabs>
      <w:ind w:right="360" w:firstLine="360"/>
      <w:jc w:val="right"/>
      <w:rPr>
        <w:smallCaps/>
      </w:rP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520D4" w14:textId="2F9F23E7" w:rsidR="002167C8" w:rsidRDefault="002167C8">
    <w:r w:rsidRPr="002167C8">
      <w:rPr>
        <w:noProof/>
      </w:rPr>
      <w:drawing>
        <wp:anchor distT="0" distB="0" distL="114300" distR="114300" simplePos="0" relativeHeight="251659264" behindDoc="0" locked="0" layoutInCell="1" allowOverlap="1" wp14:anchorId="5660008D" wp14:editId="0E36819E">
          <wp:simplePos x="0" y="0"/>
          <wp:positionH relativeFrom="margin">
            <wp:posOffset>-107070</wp:posOffset>
          </wp:positionH>
          <wp:positionV relativeFrom="paragraph">
            <wp:posOffset>257224</wp:posOffset>
          </wp:positionV>
          <wp:extent cx="2462530" cy="550545"/>
          <wp:effectExtent l="0" t="0" r="0" b="1905"/>
          <wp:wrapSquare wrapText="bothSides"/>
          <wp:docPr id="22" name="Obrázek 2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2530" cy="550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67C8">
      <w:rPr>
        <w:noProof/>
      </w:rPr>
      <mc:AlternateContent>
        <mc:Choice Requires="wps">
          <w:drawing>
            <wp:anchor distT="0" distB="0" distL="114300" distR="114300" simplePos="0" relativeHeight="251660288" behindDoc="0" locked="0" layoutInCell="1" allowOverlap="1" wp14:anchorId="34AFF379" wp14:editId="415613DE">
              <wp:simplePos x="0" y="0"/>
              <wp:positionH relativeFrom="column">
                <wp:posOffset>2353310</wp:posOffset>
              </wp:positionH>
              <wp:positionV relativeFrom="paragraph">
                <wp:posOffset>239493</wp:posOffset>
              </wp:positionV>
              <wp:extent cx="3504320" cy="574040"/>
              <wp:effectExtent l="0" t="0" r="20320" b="16510"/>
              <wp:wrapNone/>
              <wp:docPr id="23" name="Textové pole 23"/>
              <wp:cNvGraphicFramePr/>
              <a:graphic xmlns:a="http://schemas.openxmlformats.org/drawingml/2006/main">
                <a:graphicData uri="http://schemas.microsoft.com/office/word/2010/wordprocessingShape">
                  <wps:wsp>
                    <wps:cNvSpPr txBox="1"/>
                    <wps:spPr>
                      <a:xfrm>
                        <a:off x="0" y="0"/>
                        <a:ext cx="3504320" cy="574040"/>
                      </a:xfrm>
                      <a:prstGeom prst="rect">
                        <a:avLst/>
                      </a:prstGeom>
                      <a:solidFill>
                        <a:schemeClr val="lt1"/>
                      </a:solidFill>
                      <a:ln w="3175">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7C1CADB" w14:textId="77777777" w:rsidR="002167C8" w:rsidRPr="00FD40C3" w:rsidRDefault="002167C8" w:rsidP="002167C8">
                          <w:pPr>
                            <w:spacing w:after="40"/>
                            <w:jc w:val="left"/>
                            <w:rPr>
                              <w:b/>
                              <w:sz w:val="16"/>
                              <w:szCs w:val="18"/>
                            </w:rPr>
                          </w:pPr>
                          <w:r w:rsidRPr="00FD40C3">
                            <w:rPr>
                              <w:sz w:val="16"/>
                              <w:szCs w:val="18"/>
                            </w:rPr>
                            <w:t xml:space="preserve">Financováno z projektu </w:t>
                          </w:r>
                          <w:r w:rsidRPr="00FD40C3">
                            <w:rPr>
                              <w:i/>
                              <w:sz w:val="16"/>
                              <w:szCs w:val="18"/>
                            </w:rPr>
                            <w:t>„Systémová podpora společné evropské politiky podpory a</w:t>
                          </w:r>
                          <w:r>
                            <w:rPr>
                              <w:i/>
                              <w:sz w:val="16"/>
                              <w:szCs w:val="18"/>
                            </w:rPr>
                            <w:t> </w:t>
                          </w:r>
                          <w:r w:rsidRPr="00FD40C3">
                            <w:rPr>
                              <w:i/>
                              <w:sz w:val="16"/>
                              <w:szCs w:val="18"/>
                            </w:rPr>
                            <w:t>pomoci, ESI a obdobných fondů na Úřadu vlády ČR“,</w:t>
                          </w:r>
                          <w:r w:rsidRPr="00FD40C3">
                            <w:rPr>
                              <w:sz w:val="16"/>
                              <w:szCs w:val="18"/>
                            </w:rPr>
                            <w:t xml:space="preserve"> který je realizován přes OPTP 2014-2020 pod Registračním číslem: CZ.08.1.125/0.0/0.0/15_001/0000176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AFF379" id="_x0000_t202" coordsize="21600,21600" o:spt="202" path="m,l,21600r21600,l21600,xe">
              <v:stroke joinstyle="miter"/>
              <v:path gradientshapeok="t" o:connecttype="rect"/>
            </v:shapetype>
            <v:shape id="Textové pole 23" o:spid="_x0000_s1026" type="#_x0000_t202" style="position:absolute;left:0;text-align:left;margin-left:185.3pt;margin-top:18.85pt;width:275.95pt;height:4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" fillcolor="white [3201]" strokecolor="#d8d8d8 [2732]" strokeweight=".25pt">
              <v:textbox>
                <w:txbxContent>
                  <w:p w14:paraId="27C1CADB" w14:textId="77777777" w:rsidR="002167C8" w:rsidRPr="00FD40C3" w:rsidRDefault="002167C8" w:rsidP="002167C8">
                    <w:pPr>
                      <w:spacing w:after="40"/>
                      <w:jc w:val="left"/>
                      <w:rPr>
                        <w:b/>
                        <w:sz w:val="16"/>
                        <w:szCs w:val="18"/>
                      </w:rPr>
                    </w:pPr>
                    <w:r w:rsidRPr="00FD40C3">
                      <w:rPr>
                        <w:sz w:val="16"/>
                        <w:szCs w:val="18"/>
                      </w:rPr>
                      <w:t xml:space="preserve">Financováno z projektu </w:t>
                    </w:r>
                    <w:r w:rsidRPr="00FD40C3">
                      <w:rPr>
                        <w:i/>
                        <w:sz w:val="16"/>
                        <w:szCs w:val="18"/>
                      </w:rPr>
                      <w:t>„Systémová podpora společné evropské politiky podpory a</w:t>
                    </w:r>
                    <w:r>
                      <w:rPr>
                        <w:i/>
                        <w:sz w:val="16"/>
                        <w:szCs w:val="18"/>
                      </w:rPr>
                      <w:t> </w:t>
                    </w:r>
                    <w:r w:rsidRPr="00FD40C3">
                      <w:rPr>
                        <w:i/>
                        <w:sz w:val="16"/>
                        <w:szCs w:val="18"/>
                      </w:rPr>
                      <w:t>pomoci, ESI a obdobných fondů na Úřadu vlády ČR“,</w:t>
                    </w:r>
                    <w:r w:rsidRPr="00FD40C3">
                      <w:rPr>
                        <w:sz w:val="16"/>
                        <w:szCs w:val="18"/>
                      </w:rPr>
                      <w:t xml:space="preserve"> který je realizován přes OPTP 2014-2020 pod Registračním číslem: CZ.08.1.125/0.0/0.0/15_001/0000176</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10E47" w14:textId="77777777" w:rsidR="00820272" w:rsidRDefault="008202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4448C" w14:textId="77777777" w:rsidR="00820272" w:rsidRDefault="008202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C03DE" w14:textId="77777777" w:rsidR="00820272" w:rsidRDefault="00820272">
    <w:pPr>
      <w:pStyle w:val="Heade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FFFFFF7C"/>
    <w:multiLevelType w:val="singleLevel"/>
    <w:tmpl w:val="91D2B0C8"/>
    <w:lvl w:ilvl="0">
      <w:start w:val="1"/>
      <w:numFmt w:val="decimal"/>
      <w:lvlText w:val="%1."/>
      <w:lvlJc w:val="left"/>
      <w:pPr>
        <w:tabs>
          <w:tab w:pos="1492" w:val="num"/>
        </w:tabs>
        <w:ind w:hanging="360" w:left="1492"/>
      </w:pPr>
    </w:lvl>
  </w:abstractNum>
  <w:abstractNum w15:restartNumberingAfterBreak="0" w:abstractNumId="1">
    <w:nsid w:val="FFFFFF7D"/>
    <w:multiLevelType w:val="singleLevel"/>
    <w:tmpl w:val="755819CC"/>
    <w:lvl w:ilvl="0">
      <w:start w:val="1"/>
      <w:numFmt w:val="decimal"/>
      <w:lvlText w:val="%1."/>
      <w:lvlJc w:val="left"/>
      <w:pPr>
        <w:tabs>
          <w:tab w:pos="1209" w:val="num"/>
        </w:tabs>
        <w:ind w:hanging="360" w:left="1209"/>
      </w:pPr>
    </w:lvl>
  </w:abstractNum>
  <w:abstractNum w15:restartNumberingAfterBreak="0" w:abstractNumId="2">
    <w:nsid w:val="FFFFFF7E"/>
    <w:multiLevelType w:val="singleLevel"/>
    <w:tmpl w:val="04C43FCE"/>
    <w:lvl w:ilvl="0">
      <w:start w:val="1"/>
      <w:numFmt w:val="decimal"/>
      <w:lvlText w:val="%1."/>
      <w:lvlJc w:val="left"/>
      <w:pPr>
        <w:tabs>
          <w:tab w:pos="926" w:val="num"/>
        </w:tabs>
        <w:ind w:hanging="360" w:left="926"/>
      </w:pPr>
    </w:lvl>
  </w:abstractNum>
  <w:abstractNum w15:restartNumberingAfterBreak="0" w:abstractNumId="3">
    <w:nsid w:val="FFFFFF7F"/>
    <w:multiLevelType w:val="singleLevel"/>
    <w:tmpl w:val="2B885F76"/>
    <w:lvl w:ilvl="0">
      <w:start w:val="1"/>
      <w:numFmt w:val="decimal"/>
      <w:lvlText w:val="%1."/>
      <w:lvlJc w:val="left"/>
      <w:pPr>
        <w:tabs>
          <w:tab w:pos="643" w:val="num"/>
        </w:tabs>
        <w:ind w:hanging="360" w:left="643"/>
      </w:pPr>
    </w:lvl>
  </w:abstractNum>
  <w:abstractNum w15:restartNumberingAfterBreak="0" w:abstractNumId="4">
    <w:nsid w:val="FFFFFF80"/>
    <w:multiLevelType w:val="singleLevel"/>
    <w:tmpl w:val="1BFC06B4"/>
    <w:lvl w:ilvl="0">
      <w:start w:val="1"/>
      <w:numFmt w:val="bullet"/>
      <w:lvlText w:val=""/>
      <w:lvlJc w:val="left"/>
      <w:pPr>
        <w:tabs>
          <w:tab w:pos="1492" w:val="num"/>
        </w:tabs>
        <w:ind w:hanging="360" w:left="1492"/>
      </w:pPr>
      <w:rPr>
        <w:rFonts w:ascii="Symbol" w:hAnsi="Symbol" w:hint="default"/>
      </w:rPr>
    </w:lvl>
  </w:abstractNum>
  <w:abstractNum w15:restartNumberingAfterBreak="0" w:abstractNumId="5">
    <w:nsid w:val="FFFFFF81"/>
    <w:multiLevelType w:val="singleLevel"/>
    <w:tmpl w:val="863AC466"/>
    <w:lvl w:ilvl="0">
      <w:start w:val="1"/>
      <w:numFmt w:val="bullet"/>
      <w:lvlText w:val=""/>
      <w:lvlJc w:val="left"/>
      <w:pPr>
        <w:tabs>
          <w:tab w:pos="1209" w:val="num"/>
        </w:tabs>
        <w:ind w:hanging="360" w:left="1209"/>
      </w:pPr>
      <w:rPr>
        <w:rFonts w:ascii="Symbol" w:hAnsi="Symbol" w:hint="default"/>
      </w:rPr>
    </w:lvl>
  </w:abstractNum>
  <w:abstractNum w15:restartNumberingAfterBreak="0" w:abstractNumId="6">
    <w:nsid w:val="FFFFFF82"/>
    <w:multiLevelType w:val="singleLevel"/>
    <w:tmpl w:val="19A2D836"/>
    <w:lvl w:ilvl="0">
      <w:start w:val="1"/>
      <w:numFmt w:val="bullet"/>
      <w:lvlText w:val=""/>
      <w:lvlJc w:val="left"/>
      <w:pPr>
        <w:tabs>
          <w:tab w:pos="926" w:val="num"/>
        </w:tabs>
        <w:ind w:hanging="360" w:left="926"/>
      </w:pPr>
      <w:rPr>
        <w:rFonts w:ascii="Symbol" w:hAnsi="Symbol" w:hint="default"/>
      </w:rPr>
    </w:lvl>
  </w:abstractNum>
  <w:abstractNum w15:restartNumberingAfterBreak="0" w:abstractNumId="7">
    <w:nsid w:val="FFFFFF83"/>
    <w:multiLevelType w:val="singleLevel"/>
    <w:tmpl w:val="147C592E"/>
    <w:lvl w:ilvl="0">
      <w:start w:val="1"/>
      <w:numFmt w:val="bullet"/>
      <w:lvlText w:val=""/>
      <w:lvlJc w:val="left"/>
      <w:pPr>
        <w:tabs>
          <w:tab w:pos="643" w:val="num"/>
        </w:tabs>
        <w:ind w:hanging="360" w:left="643"/>
      </w:pPr>
      <w:rPr>
        <w:rFonts w:ascii="Symbol" w:hAnsi="Symbol" w:hint="default"/>
      </w:rPr>
    </w:lvl>
  </w:abstractNum>
  <w:abstractNum w15:restartNumberingAfterBreak="0" w:abstractNumId="8">
    <w:nsid w:val="FFFFFF88"/>
    <w:multiLevelType w:val="singleLevel"/>
    <w:tmpl w:val="B928BF7A"/>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C34AA6A6"/>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016536AF"/>
    <w:multiLevelType w:val="hybridMultilevel"/>
    <w:tmpl w:val="A582E1B8"/>
    <w:lvl w:ilvl="0" w:tplc="E502FA52">
      <w:start w:val="2"/>
      <w:numFmt w:val="bullet"/>
      <w:lvlText w:val="-"/>
      <w:lvlJc w:val="left"/>
      <w:pPr>
        <w:ind w:hanging="360" w:left="1495"/>
      </w:pPr>
      <w:rPr>
        <w:rFonts w:ascii="Calibri Light" w:cs="Calibri Light" w:eastAsia="Calibri" w:hAnsi="Calibri Light" w:hint="default"/>
      </w:rPr>
    </w:lvl>
    <w:lvl w:ilvl="1" w:tentative="1" w:tplc="04050003">
      <w:start w:val="1"/>
      <w:numFmt w:val="bullet"/>
      <w:lvlText w:val="o"/>
      <w:lvlJc w:val="left"/>
      <w:pPr>
        <w:ind w:hanging="360" w:left="2215"/>
      </w:pPr>
      <w:rPr>
        <w:rFonts w:ascii="Courier New" w:cs="Courier New" w:hAnsi="Courier New" w:hint="default"/>
      </w:rPr>
    </w:lvl>
    <w:lvl w:ilvl="2" w:tentative="1" w:tplc="04050005">
      <w:start w:val="1"/>
      <w:numFmt w:val="bullet"/>
      <w:lvlText w:val=""/>
      <w:lvlJc w:val="left"/>
      <w:pPr>
        <w:ind w:hanging="360" w:left="2935"/>
      </w:pPr>
      <w:rPr>
        <w:rFonts w:ascii="Wingdings" w:hAnsi="Wingdings" w:hint="default"/>
      </w:rPr>
    </w:lvl>
    <w:lvl w:ilvl="3" w:tentative="1" w:tplc="04050001">
      <w:start w:val="1"/>
      <w:numFmt w:val="bullet"/>
      <w:lvlText w:val=""/>
      <w:lvlJc w:val="left"/>
      <w:pPr>
        <w:ind w:hanging="360" w:left="3655"/>
      </w:pPr>
      <w:rPr>
        <w:rFonts w:ascii="Symbol" w:hAnsi="Symbol" w:hint="default"/>
      </w:rPr>
    </w:lvl>
    <w:lvl w:ilvl="4" w:tentative="1" w:tplc="04050003">
      <w:start w:val="1"/>
      <w:numFmt w:val="bullet"/>
      <w:lvlText w:val="o"/>
      <w:lvlJc w:val="left"/>
      <w:pPr>
        <w:ind w:hanging="360" w:left="4375"/>
      </w:pPr>
      <w:rPr>
        <w:rFonts w:ascii="Courier New" w:cs="Courier New" w:hAnsi="Courier New" w:hint="default"/>
      </w:rPr>
    </w:lvl>
    <w:lvl w:ilvl="5" w:tentative="1" w:tplc="04050005">
      <w:start w:val="1"/>
      <w:numFmt w:val="bullet"/>
      <w:lvlText w:val=""/>
      <w:lvlJc w:val="left"/>
      <w:pPr>
        <w:ind w:hanging="360" w:left="5095"/>
      </w:pPr>
      <w:rPr>
        <w:rFonts w:ascii="Wingdings" w:hAnsi="Wingdings" w:hint="default"/>
      </w:rPr>
    </w:lvl>
    <w:lvl w:ilvl="6" w:tentative="1" w:tplc="04050001">
      <w:start w:val="1"/>
      <w:numFmt w:val="bullet"/>
      <w:lvlText w:val=""/>
      <w:lvlJc w:val="left"/>
      <w:pPr>
        <w:ind w:hanging="360" w:left="5815"/>
      </w:pPr>
      <w:rPr>
        <w:rFonts w:ascii="Symbol" w:hAnsi="Symbol" w:hint="default"/>
      </w:rPr>
    </w:lvl>
    <w:lvl w:ilvl="7" w:tentative="1" w:tplc="04050003">
      <w:start w:val="1"/>
      <w:numFmt w:val="bullet"/>
      <w:lvlText w:val="o"/>
      <w:lvlJc w:val="left"/>
      <w:pPr>
        <w:ind w:hanging="360" w:left="6535"/>
      </w:pPr>
      <w:rPr>
        <w:rFonts w:ascii="Courier New" w:cs="Courier New" w:hAnsi="Courier New" w:hint="default"/>
      </w:rPr>
    </w:lvl>
    <w:lvl w:ilvl="8" w:tentative="1" w:tplc="04050005">
      <w:start w:val="1"/>
      <w:numFmt w:val="bullet"/>
      <w:lvlText w:val=""/>
      <w:lvlJc w:val="left"/>
      <w:pPr>
        <w:ind w:hanging="360" w:left="7255"/>
      </w:pPr>
      <w:rPr>
        <w:rFonts w:ascii="Wingdings" w:hAnsi="Wingdings" w:hint="default"/>
      </w:rPr>
    </w:lvl>
  </w:abstractNum>
  <w:abstractNum w15:restartNumberingAfterBreak="0" w:abstractNumId="11">
    <w:nsid w:val="04FC678F"/>
    <w:multiLevelType w:val="hybridMultilevel"/>
    <w:tmpl w:val="5E4E2A06"/>
    <w:lvl w:ilvl="0" w:tplc="DA0C8134">
      <w:start w:val="1"/>
      <w:numFmt w:val="decimal"/>
      <w:pStyle w:val="Nadpis2-11"/>
      <w:lvlText w:val="1.%1"/>
      <w:lvlJc w:val="left"/>
      <w:pPr>
        <w:ind w:hanging="360" w:left="720"/>
      </w:pPr>
      <w:rPr>
        <w:rFonts w:hint="default"/>
      </w:rPr>
    </w:lvl>
    <w:lvl w:ilvl="1" w:tentative="1" w:tplc="04050019">
      <w:start w:val="1"/>
      <w:numFmt w:val="lowerLetter"/>
      <w:lvlText w:val="%2."/>
      <w:lvlJc w:val="left"/>
      <w:pPr>
        <w:ind w:hanging="360" w:left="1440"/>
      </w:pPr>
    </w:lvl>
    <w:lvl w:ilvl="2" w:tentative="1" w:tplc="0405001B">
      <w:start w:val="1"/>
      <w:numFmt w:val="lowerRoman"/>
      <w:lvlText w:val="%3."/>
      <w:lvlJc w:val="right"/>
      <w:pPr>
        <w:ind w:hanging="180" w:left="2160"/>
      </w:pPr>
    </w:lvl>
    <w:lvl w:ilvl="3" w:tentative="1" w:tplc="0405000F">
      <w:start w:val="1"/>
      <w:numFmt w:val="decimal"/>
      <w:lvlText w:val="%4."/>
      <w:lvlJc w:val="left"/>
      <w:pPr>
        <w:ind w:hanging="360" w:left="2880"/>
      </w:pPr>
    </w:lvl>
    <w:lvl w:ilvl="4" w:tentative="1" w:tplc="04050019">
      <w:start w:val="1"/>
      <w:numFmt w:val="lowerLetter"/>
      <w:lvlText w:val="%5."/>
      <w:lvlJc w:val="left"/>
      <w:pPr>
        <w:ind w:hanging="360" w:left="3600"/>
      </w:pPr>
    </w:lvl>
    <w:lvl w:ilvl="5" w:tentative="1" w:tplc="0405001B">
      <w:start w:val="1"/>
      <w:numFmt w:val="lowerRoman"/>
      <w:lvlText w:val="%6."/>
      <w:lvlJc w:val="right"/>
      <w:pPr>
        <w:ind w:hanging="180" w:left="4320"/>
      </w:pPr>
    </w:lvl>
    <w:lvl w:ilvl="6" w:tentative="1" w:tplc="0405000F">
      <w:start w:val="1"/>
      <w:numFmt w:val="decimal"/>
      <w:lvlText w:val="%7."/>
      <w:lvlJc w:val="left"/>
      <w:pPr>
        <w:ind w:hanging="360" w:left="5040"/>
      </w:pPr>
    </w:lvl>
    <w:lvl w:ilvl="7" w:tentative="1" w:tplc="04050019">
      <w:start w:val="1"/>
      <w:numFmt w:val="lowerLetter"/>
      <w:lvlText w:val="%8."/>
      <w:lvlJc w:val="left"/>
      <w:pPr>
        <w:ind w:hanging="360" w:left="5760"/>
      </w:pPr>
    </w:lvl>
    <w:lvl w:ilvl="8" w:tentative="1" w:tplc="0405001B">
      <w:start w:val="1"/>
      <w:numFmt w:val="lowerRoman"/>
      <w:lvlText w:val="%9."/>
      <w:lvlJc w:val="right"/>
      <w:pPr>
        <w:ind w:hanging="180" w:left="6480"/>
      </w:pPr>
    </w:lvl>
  </w:abstractNum>
  <w:abstractNum w15:restartNumberingAfterBreak="0" w:abstractNumId="12">
    <w:nsid w:val="09F227D9"/>
    <w:multiLevelType w:val="hybridMultilevel"/>
    <w:tmpl w:val="E146EF18"/>
    <w:lvl w:ilvl="0" w:tplc="6BEE1CAC">
      <w:start w:val="1"/>
      <w:numFmt w:val="bullet"/>
      <w:lvlText w:val="-"/>
      <w:lvlJc w:val="left"/>
      <w:pPr>
        <w:ind w:hanging="360" w:left="720"/>
      </w:pPr>
      <w:rPr>
        <w:rFonts w:ascii="Courier New" w:hAnsi="Courier New" w:hint="default"/>
      </w:rPr>
    </w:lvl>
    <w:lvl w:ilvl="1" w:tentative="1" w:tplc="04050003">
      <w:start w:val="1"/>
      <w:numFmt w:val="bullet"/>
      <w:lvlText w:val="o"/>
      <w:lvlJc w:val="left"/>
      <w:pPr>
        <w:ind w:hanging="360" w:left="1440"/>
      </w:pPr>
      <w:rPr>
        <w:rFonts w:ascii="Courier New" w:cs="Courier New" w:hAnsi="Courier New" w:hint="default"/>
      </w:rPr>
    </w:lvl>
    <w:lvl w:ilvl="2" w:tentative="1" w:tplc="04050005">
      <w:start w:val="1"/>
      <w:numFmt w:val="bullet"/>
      <w:lvlText w:val=""/>
      <w:lvlJc w:val="left"/>
      <w:pPr>
        <w:ind w:hanging="360" w:left="2160"/>
      </w:pPr>
      <w:rPr>
        <w:rFonts w:ascii="Wingdings" w:hAnsi="Wingdings" w:hint="default"/>
      </w:rPr>
    </w:lvl>
    <w:lvl w:ilvl="3" w:tentative="1" w:tplc="04050001">
      <w:start w:val="1"/>
      <w:numFmt w:val="bullet"/>
      <w:lvlText w:val=""/>
      <w:lvlJc w:val="left"/>
      <w:pPr>
        <w:ind w:hanging="360" w:left="2880"/>
      </w:pPr>
      <w:rPr>
        <w:rFonts w:ascii="Symbol" w:hAnsi="Symbol" w:hint="default"/>
      </w:rPr>
    </w:lvl>
    <w:lvl w:ilvl="4" w:tentative="1" w:tplc="04050003">
      <w:start w:val="1"/>
      <w:numFmt w:val="bullet"/>
      <w:lvlText w:val="o"/>
      <w:lvlJc w:val="left"/>
      <w:pPr>
        <w:ind w:hanging="360" w:left="3600"/>
      </w:pPr>
      <w:rPr>
        <w:rFonts w:ascii="Courier New" w:cs="Courier New" w:hAnsi="Courier New" w:hint="default"/>
      </w:rPr>
    </w:lvl>
    <w:lvl w:ilvl="5" w:tentative="1" w:tplc="04050005">
      <w:start w:val="1"/>
      <w:numFmt w:val="bullet"/>
      <w:lvlText w:val=""/>
      <w:lvlJc w:val="left"/>
      <w:pPr>
        <w:ind w:hanging="360" w:left="4320"/>
      </w:pPr>
      <w:rPr>
        <w:rFonts w:ascii="Wingdings" w:hAnsi="Wingdings" w:hint="default"/>
      </w:rPr>
    </w:lvl>
    <w:lvl w:ilvl="6" w:tentative="1" w:tplc="04050001">
      <w:start w:val="1"/>
      <w:numFmt w:val="bullet"/>
      <w:lvlText w:val=""/>
      <w:lvlJc w:val="left"/>
      <w:pPr>
        <w:ind w:hanging="360" w:left="5040"/>
      </w:pPr>
      <w:rPr>
        <w:rFonts w:ascii="Symbol" w:hAnsi="Symbol" w:hint="default"/>
      </w:rPr>
    </w:lvl>
    <w:lvl w:ilvl="7" w:tentative="1" w:tplc="04050003">
      <w:start w:val="1"/>
      <w:numFmt w:val="bullet"/>
      <w:lvlText w:val="o"/>
      <w:lvlJc w:val="left"/>
      <w:pPr>
        <w:ind w:hanging="360" w:left="5760"/>
      </w:pPr>
      <w:rPr>
        <w:rFonts w:ascii="Courier New" w:cs="Courier New" w:hAnsi="Courier New" w:hint="default"/>
      </w:rPr>
    </w:lvl>
    <w:lvl w:ilvl="8" w:tentative="1" w:tplc="04050005">
      <w:start w:val="1"/>
      <w:numFmt w:val="bullet"/>
      <w:lvlText w:val=""/>
      <w:lvlJc w:val="left"/>
      <w:pPr>
        <w:ind w:hanging="360" w:left="6480"/>
      </w:pPr>
      <w:rPr>
        <w:rFonts w:ascii="Wingdings" w:hAnsi="Wingdings" w:hint="default"/>
      </w:rPr>
    </w:lvl>
  </w:abstractNum>
  <w:abstractNum w15:restartNumberingAfterBreak="0" w:abstractNumId="13">
    <w:nsid w:val="30CC3908"/>
    <w:multiLevelType w:val="hybridMultilevel"/>
    <w:tmpl w:val="392E1B38"/>
    <w:lvl w:ilvl="0" w:tplc="D546569E">
      <w:start w:val="1"/>
      <w:numFmt w:val="decimal"/>
      <w:pStyle w:val="Nadpis1slovan"/>
      <w:lvlText w:val="%1."/>
      <w:lvlJc w:val="left"/>
      <w:pPr>
        <w:ind w:hanging="360" w:left="720"/>
      </w:pPr>
    </w:lvl>
    <w:lvl w:ilvl="1" w:tentative="1" w:tplc="04090019">
      <w:start w:val="1"/>
      <w:numFmt w:val="lowerLetter"/>
      <w:lvlText w:val="%2."/>
      <w:lvlJc w:val="left"/>
      <w:pPr>
        <w:ind w:hanging="360" w:left="1440"/>
      </w:pPr>
    </w:lvl>
    <w:lvl w:ilvl="2" w:tentative="1" w:tplc="0409001B">
      <w:start w:val="1"/>
      <w:numFmt w:val="lowerRoman"/>
      <w:lvlText w:val="%3."/>
      <w:lvlJc w:val="right"/>
      <w:pPr>
        <w:ind w:hanging="180" w:left="2160"/>
      </w:pPr>
    </w:lvl>
    <w:lvl w:ilvl="3" w:tentative="1" w:tplc="0409000F">
      <w:start w:val="1"/>
      <w:numFmt w:val="decimal"/>
      <w:lvlText w:val="%4."/>
      <w:lvlJc w:val="left"/>
      <w:pPr>
        <w:ind w:hanging="360" w:left="2880"/>
      </w:pPr>
    </w:lvl>
    <w:lvl w:ilvl="4" w:tentative="1" w:tplc="04090019">
      <w:start w:val="1"/>
      <w:numFmt w:val="lowerLetter"/>
      <w:lvlText w:val="%5."/>
      <w:lvlJc w:val="left"/>
      <w:pPr>
        <w:ind w:hanging="360" w:left="3600"/>
      </w:pPr>
    </w:lvl>
    <w:lvl w:ilvl="5" w:tentative="1" w:tplc="0409001B">
      <w:start w:val="1"/>
      <w:numFmt w:val="lowerRoman"/>
      <w:lvlText w:val="%6."/>
      <w:lvlJc w:val="right"/>
      <w:pPr>
        <w:ind w:hanging="180" w:left="4320"/>
      </w:pPr>
    </w:lvl>
    <w:lvl w:ilvl="6" w:tentative="1" w:tplc="0409000F">
      <w:start w:val="1"/>
      <w:numFmt w:val="decimal"/>
      <w:lvlText w:val="%7."/>
      <w:lvlJc w:val="left"/>
      <w:pPr>
        <w:ind w:hanging="360" w:left="5040"/>
      </w:pPr>
    </w:lvl>
    <w:lvl w:ilvl="7" w:tentative="1" w:tplc="04090019">
      <w:start w:val="1"/>
      <w:numFmt w:val="lowerLetter"/>
      <w:lvlText w:val="%8."/>
      <w:lvlJc w:val="left"/>
      <w:pPr>
        <w:ind w:hanging="360" w:left="5760"/>
      </w:pPr>
    </w:lvl>
    <w:lvl w:ilvl="8" w:tentative="1" w:tplc="0409001B">
      <w:start w:val="1"/>
      <w:numFmt w:val="lowerRoman"/>
      <w:lvlText w:val="%9."/>
      <w:lvlJc w:val="right"/>
      <w:pPr>
        <w:ind w:hanging="180" w:left="6480"/>
      </w:pPr>
    </w:lvl>
  </w:abstractNum>
  <w:abstractNum w15:restartNumberingAfterBreak="0" w:abstractNumId="14">
    <w:nsid w:val="43EE4EB6"/>
    <w:multiLevelType w:val="hybridMultilevel"/>
    <w:tmpl w:val="EB688F60"/>
    <w:lvl w:ilvl="0" w:tplc="0EA4EAB0">
      <w:numFmt w:val="bullet"/>
      <w:lvlText w:val="-"/>
      <w:lvlJc w:val="left"/>
      <w:pPr>
        <w:ind w:hanging="360" w:left="720"/>
      </w:pPr>
      <w:rPr>
        <w:rFonts w:ascii="Calibri Light" w:cs="Times New Roman" w:eastAsia="Calibri" w:hAnsi="Calibri Light" w:hint="default"/>
      </w:rPr>
    </w:lvl>
    <w:lvl w:ilvl="1" w:tentative="1" w:tplc="04050003">
      <w:start w:val="1"/>
      <w:numFmt w:val="bullet"/>
      <w:lvlText w:val="o"/>
      <w:lvlJc w:val="left"/>
      <w:pPr>
        <w:ind w:hanging="360" w:left="1440"/>
      </w:pPr>
      <w:rPr>
        <w:rFonts w:ascii="Courier New" w:cs="Courier New" w:hAnsi="Courier New" w:hint="default"/>
      </w:rPr>
    </w:lvl>
    <w:lvl w:ilvl="2" w:tentative="1" w:tplc="04050005">
      <w:start w:val="1"/>
      <w:numFmt w:val="bullet"/>
      <w:lvlText w:val=""/>
      <w:lvlJc w:val="left"/>
      <w:pPr>
        <w:ind w:hanging="360" w:left="2160"/>
      </w:pPr>
      <w:rPr>
        <w:rFonts w:ascii="Wingdings" w:hAnsi="Wingdings" w:hint="default"/>
      </w:rPr>
    </w:lvl>
    <w:lvl w:ilvl="3" w:tentative="1" w:tplc="04050001">
      <w:start w:val="1"/>
      <w:numFmt w:val="bullet"/>
      <w:lvlText w:val=""/>
      <w:lvlJc w:val="left"/>
      <w:pPr>
        <w:ind w:hanging="360" w:left="2880"/>
      </w:pPr>
      <w:rPr>
        <w:rFonts w:ascii="Symbol" w:hAnsi="Symbol" w:hint="default"/>
      </w:rPr>
    </w:lvl>
    <w:lvl w:ilvl="4" w:tentative="1" w:tplc="04050003">
      <w:start w:val="1"/>
      <w:numFmt w:val="bullet"/>
      <w:lvlText w:val="o"/>
      <w:lvlJc w:val="left"/>
      <w:pPr>
        <w:ind w:hanging="360" w:left="3600"/>
      </w:pPr>
      <w:rPr>
        <w:rFonts w:ascii="Courier New" w:cs="Courier New" w:hAnsi="Courier New" w:hint="default"/>
      </w:rPr>
    </w:lvl>
    <w:lvl w:ilvl="5" w:tentative="1" w:tplc="04050005">
      <w:start w:val="1"/>
      <w:numFmt w:val="bullet"/>
      <w:lvlText w:val=""/>
      <w:lvlJc w:val="left"/>
      <w:pPr>
        <w:ind w:hanging="360" w:left="4320"/>
      </w:pPr>
      <w:rPr>
        <w:rFonts w:ascii="Wingdings" w:hAnsi="Wingdings" w:hint="default"/>
      </w:rPr>
    </w:lvl>
    <w:lvl w:ilvl="6" w:tentative="1" w:tplc="04050001">
      <w:start w:val="1"/>
      <w:numFmt w:val="bullet"/>
      <w:lvlText w:val=""/>
      <w:lvlJc w:val="left"/>
      <w:pPr>
        <w:ind w:hanging="360" w:left="5040"/>
      </w:pPr>
      <w:rPr>
        <w:rFonts w:ascii="Symbol" w:hAnsi="Symbol" w:hint="default"/>
      </w:rPr>
    </w:lvl>
    <w:lvl w:ilvl="7" w:tentative="1" w:tplc="04050003">
      <w:start w:val="1"/>
      <w:numFmt w:val="bullet"/>
      <w:lvlText w:val="o"/>
      <w:lvlJc w:val="left"/>
      <w:pPr>
        <w:ind w:hanging="360" w:left="5760"/>
      </w:pPr>
      <w:rPr>
        <w:rFonts w:ascii="Courier New" w:cs="Courier New" w:hAnsi="Courier New" w:hint="default"/>
      </w:rPr>
    </w:lvl>
    <w:lvl w:ilvl="8" w:tentative="1" w:tplc="04050005">
      <w:start w:val="1"/>
      <w:numFmt w:val="bullet"/>
      <w:lvlText w:val=""/>
      <w:lvlJc w:val="left"/>
      <w:pPr>
        <w:ind w:hanging="360" w:left="6480"/>
      </w:pPr>
      <w:rPr>
        <w:rFonts w:ascii="Wingdings" w:hAnsi="Wingdings" w:hint="default"/>
      </w:rPr>
    </w:lvl>
  </w:abstractNum>
  <w:abstractNum w15:restartNumberingAfterBreak="0" w:abstractNumId="15">
    <w:nsid w:val="508C5934"/>
    <w:multiLevelType w:val="hybridMultilevel"/>
    <w:tmpl w:val="B25C195C"/>
    <w:lvl w:ilvl="0" w:tplc="647A2DD0">
      <w:start w:val="1"/>
      <w:numFmt w:val="bullet"/>
      <w:lvlText w:val="-"/>
      <w:lvlJc w:val="left"/>
      <w:pPr>
        <w:ind w:hanging="360" w:left="720"/>
      </w:pPr>
      <w:rPr>
        <w:rFonts w:ascii="Symbol" w:hAnsi="Symbol" w:hint="default"/>
      </w:rPr>
    </w:lvl>
    <w:lvl w:ilvl="1" w:tplc="D5326790">
      <w:start w:val="1"/>
      <w:numFmt w:val="bullet"/>
      <w:lvlText w:val="o"/>
      <w:lvlJc w:val="left"/>
      <w:pPr>
        <w:ind w:hanging="360" w:left="1440"/>
      </w:pPr>
      <w:rPr>
        <w:rFonts w:ascii="Courier New" w:hAnsi="Courier New" w:hint="default"/>
      </w:rPr>
    </w:lvl>
    <w:lvl w:ilvl="2" w:tplc="67C46784">
      <w:start w:val="1"/>
      <w:numFmt w:val="bullet"/>
      <w:lvlText w:val=""/>
      <w:lvlJc w:val="left"/>
      <w:pPr>
        <w:ind w:hanging="360" w:left="2160"/>
      </w:pPr>
      <w:rPr>
        <w:rFonts w:ascii="Wingdings" w:hAnsi="Wingdings" w:hint="default"/>
      </w:rPr>
    </w:lvl>
    <w:lvl w:ilvl="3" w:tplc="D2A0E2D8">
      <w:start w:val="1"/>
      <w:numFmt w:val="bullet"/>
      <w:lvlText w:val=""/>
      <w:lvlJc w:val="left"/>
      <w:pPr>
        <w:ind w:hanging="360" w:left="2880"/>
      </w:pPr>
      <w:rPr>
        <w:rFonts w:ascii="Symbol" w:hAnsi="Symbol" w:hint="default"/>
      </w:rPr>
    </w:lvl>
    <w:lvl w:ilvl="4" w:tplc="359046B4">
      <w:start w:val="1"/>
      <w:numFmt w:val="bullet"/>
      <w:lvlText w:val="o"/>
      <w:lvlJc w:val="left"/>
      <w:pPr>
        <w:ind w:hanging="360" w:left="3600"/>
      </w:pPr>
      <w:rPr>
        <w:rFonts w:ascii="Courier New" w:hAnsi="Courier New" w:hint="default"/>
      </w:rPr>
    </w:lvl>
    <w:lvl w:ilvl="5" w:tplc="BE9A8C9E">
      <w:start w:val="1"/>
      <w:numFmt w:val="bullet"/>
      <w:lvlText w:val=""/>
      <w:lvlJc w:val="left"/>
      <w:pPr>
        <w:ind w:hanging="360" w:left="4320"/>
      </w:pPr>
      <w:rPr>
        <w:rFonts w:ascii="Wingdings" w:hAnsi="Wingdings" w:hint="default"/>
      </w:rPr>
    </w:lvl>
    <w:lvl w:ilvl="6" w:tplc="EE12B8AA">
      <w:start w:val="1"/>
      <w:numFmt w:val="bullet"/>
      <w:lvlText w:val=""/>
      <w:lvlJc w:val="left"/>
      <w:pPr>
        <w:ind w:hanging="360" w:left="5040"/>
      </w:pPr>
      <w:rPr>
        <w:rFonts w:ascii="Symbol" w:hAnsi="Symbol" w:hint="default"/>
      </w:rPr>
    </w:lvl>
    <w:lvl w:ilvl="7" w:tplc="C5946E20">
      <w:start w:val="1"/>
      <w:numFmt w:val="bullet"/>
      <w:lvlText w:val="o"/>
      <w:lvlJc w:val="left"/>
      <w:pPr>
        <w:ind w:hanging="360" w:left="5760"/>
      </w:pPr>
      <w:rPr>
        <w:rFonts w:ascii="Courier New" w:hAnsi="Courier New" w:hint="default"/>
      </w:rPr>
    </w:lvl>
    <w:lvl w:ilvl="8" w:tplc="4622F9E0">
      <w:start w:val="1"/>
      <w:numFmt w:val="bullet"/>
      <w:lvlText w:val=""/>
      <w:lvlJc w:val="left"/>
      <w:pPr>
        <w:ind w:hanging="360" w:left="6480"/>
      </w:pPr>
      <w:rPr>
        <w:rFonts w:ascii="Wingdings" w:hAnsi="Wingdings" w:hint="default"/>
      </w:rPr>
    </w:lvl>
  </w:abstractNum>
  <w:abstractNum w15:restartNumberingAfterBreak="0" w:abstractNumId="16">
    <w:nsid w:val="541A36F0"/>
    <w:multiLevelType w:val="hybridMultilevel"/>
    <w:tmpl w:val="DDDA7E44"/>
    <w:lvl w:ilvl="0" w:tplc="22B01AB4">
      <w:start w:val="1"/>
      <w:numFmt w:val="bullet"/>
      <w:lvlText w:val="-"/>
      <w:lvlJc w:val="left"/>
      <w:pPr>
        <w:ind w:hanging="360" w:left="720"/>
      </w:pPr>
      <w:rPr>
        <w:rFonts w:ascii="Calibri Light" w:cs="Calibri Light" w:eastAsia="Calibri" w:hAnsi="Calibri Light" w:hint="default"/>
      </w:rPr>
    </w:lvl>
    <w:lvl w:ilvl="1" w:tentative="1" w:tplc="04050003">
      <w:start w:val="1"/>
      <w:numFmt w:val="bullet"/>
      <w:lvlText w:val="o"/>
      <w:lvlJc w:val="left"/>
      <w:pPr>
        <w:ind w:hanging="360" w:left="1440"/>
      </w:pPr>
      <w:rPr>
        <w:rFonts w:ascii="Courier New" w:cs="Courier New" w:hAnsi="Courier New" w:hint="default"/>
      </w:rPr>
    </w:lvl>
    <w:lvl w:ilvl="2" w:tentative="1" w:tplc="04050005">
      <w:start w:val="1"/>
      <w:numFmt w:val="bullet"/>
      <w:lvlText w:val=""/>
      <w:lvlJc w:val="left"/>
      <w:pPr>
        <w:ind w:hanging="360" w:left="2160"/>
      </w:pPr>
      <w:rPr>
        <w:rFonts w:ascii="Wingdings" w:hAnsi="Wingdings" w:hint="default"/>
      </w:rPr>
    </w:lvl>
    <w:lvl w:ilvl="3" w:tentative="1" w:tplc="04050001">
      <w:start w:val="1"/>
      <w:numFmt w:val="bullet"/>
      <w:lvlText w:val=""/>
      <w:lvlJc w:val="left"/>
      <w:pPr>
        <w:ind w:hanging="360" w:left="2880"/>
      </w:pPr>
      <w:rPr>
        <w:rFonts w:ascii="Symbol" w:hAnsi="Symbol" w:hint="default"/>
      </w:rPr>
    </w:lvl>
    <w:lvl w:ilvl="4" w:tentative="1" w:tplc="04050003">
      <w:start w:val="1"/>
      <w:numFmt w:val="bullet"/>
      <w:lvlText w:val="o"/>
      <w:lvlJc w:val="left"/>
      <w:pPr>
        <w:ind w:hanging="360" w:left="3600"/>
      </w:pPr>
      <w:rPr>
        <w:rFonts w:ascii="Courier New" w:cs="Courier New" w:hAnsi="Courier New" w:hint="default"/>
      </w:rPr>
    </w:lvl>
    <w:lvl w:ilvl="5" w:tentative="1" w:tplc="04050005">
      <w:start w:val="1"/>
      <w:numFmt w:val="bullet"/>
      <w:lvlText w:val=""/>
      <w:lvlJc w:val="left"/>
      <w:pPr>
        <w:ind w:hanging="360" w:left="4320"/>
      </w:pPr>
      <w:rPr>
        <w:rFonts w:ascii="Wingdings" w:hAnsi="Wingdings" w:hint="default"/>
      </w:rPr>
    </w:lvl>
    <w:lvl w:ilvl="6" w:tentative="1" w:tplc="04050001">
      <w:start w:val="1"/>
      <w:numFmt w:val="bullet"/>
      <w:lvlText w:val=""/>
      <w:lvlJc w:val="left"/>
      <w:pPr>
        <w:ind w:hanging="360" w:left="5040"/>
      </w:pPr>
      <w:rPr>
        <w:rFonts w:ascii="Symbol" w:hAnsi="Symbol" w:hint="default"/>
      </w:rPr>
    </w:lvl>
    <w:lvl w:ilvl="7" w:tentative="1" w:tplc="04050003">
      <w:start w:val="1"/>
      <w:numFmt w:val="bullet"/>
      <w:lvlText w:val="o"/>
      <w:lvlJc w:val="left"/>
      <w:pPr>
        <w:ind w:hanging="360" w:left="5760"/>
      </w:pPr>
      <w:rPr>
        <w:rFonts w:ascii="Courier New" w:cs="Courier New" w:hAnsi="Courier New" w:hint="default"/>
      </w:rPr>
    </w:lvl>
    <w:lvl w:ilvl="8" w:tentative="1" w:tplc="04050005">
      <w:start w:val="1"/>
      <w:numFmt w:val="bullet"/>
      <w:lvlText w:val=""/>
      <w:lvlJc w:val="left"/>
      <w:pPr>
        <w:ind w:hanging="360" w:left="6480"/>
      </w:pPr>
      <w:rPr>
        <w:rFonts w:ascii="Wingdings" w:hAnsi="Wingdings" w:hint="default"/>
      </w:rPr>
    </w:lvl>
  </w:abstractNum>
  <w:abstractNum w15:restartNumberingAfterBreak="0" w:abstractNumId="17">
    <w:nsid w:val="5E3B44CF"/>
    <w:multiLevelType w:val="multilevel"/>
    <w:tmpl w:val="4FB0721A"/>
    <w:lvl w:ilvl="0">
      <w:start w:val="1"/>
      <w:numFmt w:val="decimal"/>
      <w:lvlText w:val="%1"/>
      <w:lvlJc w:val="left"/>
      <w:pPr>
        <w:ind w:hanging="432" w:left="432"/>
      </w:pPr>
    </w:lvl>
    <w:lvl w:ilvl="1">
      <w:start w:val="1"/>
      <w:numFmt w:val="decimal"/>
      <w:lvlText w:val="%1.%2"/>
      <w:lvlJc w:val="left"/>
      <w:pPr>
        <w:ind w:hanging="576" w:left="576"/>
      </w:pPr>
    </w:lvl>
    <w:lvl w:ilvl="2">
      <w:start w:val="1"/>
      <w:numFmt w:val="decimal"/>
      <w:pStyle w:val="Heading3"/>
      <w:lvlText w:val="%1.%2.%3"/>
      <w:lvlJc w:val="left"/>
      <w:pPr>
        <w:ind w:hanging="720" w:left="720"/>
      </w:pPr>
    </w:lvl>
    <w:lvl w:ilvl="3">
      <w:start w:val="1"/>
      <w:numFmt w:val="decimal"/>
      <w:pStyle w:val="Heading4"/>
      <w:lvlText w:val="%1.%2.%3.%4"/>
      <w:lvlJc w:val="left"/>
      <w:pPr>
        <w:ind w:hanging="864" w:left="864"/>
      </w:pPr>
    </w:lvl>
    <w:lvl w:ilvl="4">
      <w:start w:val="1"/>
      <w:numFmt w:val="decimal"/>
      <w:pStyle w:val="Heading5"/>
      <w:lvlText w:val="%1.%2.%3.%4.%5"/>
      <w:lvlJc w:val="left"/>
      <w:pPr>
        <w:ind w:hanging="1008" w:left="1008"/>
      </w:pPr>
    </w:lvl>
    <w:lvl w:ilvl="5">
      <w:start w:val="1"/>
      <w:numFmt w:val="decimal"/>
      <w:pStyle w:val="Heading6"/>
      <w:lvlText w:val="%1.%2.%3.%4.%5.%6"/>
      <w:lvlJc w:val="left"/>
      <w:pPr>
        <w:ind w:hanging="1152" w:left="1152"/>
      </w:pPr>
    </w:lvl>
    <w:lvl w:ilvl="6">
      <w:start w:val="1"/>
      <w:numFmt w:val="decimal"/>
      <w:pStyle w:val="Heading7"/>
      <w:lvlText w:val="%1.%2.%3.%4.%5.%6.%7"/>
      <w:lvlJc w:val="left"/>
      <w:pPr>
        <w:ind w:hanging="1296" w:left="1296"/>
      </w:pPr>
    </w:lvl>
    <w:lvl w:ilvl="7">
      <w:start w:val="1"/>
      <w:numFmt w:val="decimal"/>
      <w:pStyle w:val="Heading8"/>
      <w:lvlText w:val="%1.%2.%3.%4.%5.%6.%7.%8"/>
      <w:lvlJc w:val="left"/>
      <w:pPr>
        <w:ind w:hanging="1440" w:left="1440"/>
      </w:pPr>
    </w:lvl>
    <w:lvl w:ilvl="8">
      <w:start w:val="1"/>
      <w:numFmt w:val="decimal"/>
      <w:pStyle w:val="Heading9"/>
      <w:lvlText w:val="%1.%2.%3.%4.%5.%6.%7.%8.%9"/>
      <w:lvlJc w:val="left"/>
      <w:pPr>
        <w:ind w:hanging="1584" w:left="1584"/>
      </w:pPr>
    </w:lvl>
  </w:abstractNum>
  <w:abstractNum w15:restartNumberingAfterBreak="0" w:abstractNumId="18">
    <w:nsid w:val="5FF86ABC"/>
    <w:multiLevelType w:val="hybridMultilevel"/>
    <w:tmpl w:val="0A20D5E0"/>
    <w:lvl w:ilvl="0" w:tplc="04050017">
      <w:start w:val="1"/>
      <w:numFmt w:val="lowerLetter"/>
      <w:lvlText w:val="%1)"/>
      <w:lvlJc w:val="left"/>
      <w:pPr>
        <w:ind w:hanging="360" w:left="720"/>
      </w:pPr>
      <w:rPr>
        <w:rFonts w:hint="default"/>
      </w:rPr>
    </w:lvl>
    <w:lvl w:ilvl="1" w:tentative="1" w:tplc="04050019">
      <w:start w:val="1"/>
      <w:numFmt w:val="lowerLetter"/>
      <w:lvlText w:val="%2."/>
      <w:lvlJc w:val="left"/>
      <w:pPr>
        <w:ind w:hanging="360" w:left="1440"/>
      </w:pPr>
    </w:lvl>
    <w:lvl w:ilvl="2" w:tentative="1" w:tplc="0405001B">
      <w:start w:val="1"/>
      <w:numFmt w:val="lowerRoman"/>
      <w:lvlText w:val="%3."/>
      <w:lvlJc w:val="right"/>
      <w:pPr>
        <w:ind w:hanging="180" w:left="2160"/>
      </w:pPr>
    </w:lvl>
    <w:lvl w:ilvl="3" w:tentative="1" w:tplc="0405000F">
      <w:start w:val="1"/>
      <w:numFmt w:val="decimal"/>
      <w:lvlText w:val="%4."/>
      <w:lvlJc w:val="left"/>
      <w:pPr>
        <w:ind w:hanging="360" w:left="2880"/>
      </w:pPr>
    </w:lvl>
    <w:lvl w:ilvl="4" w:tentative="1" w:tplc="04050019">
      <w:start w:val="1"/>
      <w:numFmt w:val="lowerLetter"/>
      <w:lvlText w:val="%5."/>
      <w:lvlJc w:val="left"/>
      <w:pPr>
        <w:ind w:hanging="360" w:left="3600"/>
      </w:pPr>
    </w:lvl>
    <w:lvl w:ilvl="5" w:tentative="1" w:tplc="0405001B">
      <w:start w:val="1"/>
      <w:numFmt w:val="lowerRoman"/>
      <w:lvlText w:val="%6."/>
      <w:lvlJc w:val="right"/>
      <w:pPr>
        <w:ind w:hanging="180" w:left="4320"/>
      </w:pPr>
    </w:lvl>
    <w:lvl w:ilvl="6" w:tentative="1" w:tplc="0405000F">
      <w:start w:val="1"/>
      <w:numFmt w:val="decimal"/>
      <w:lvlText w:val="%7."/>
      <w:lvlJc w:val="left"/>
      <w:pPr>
        <w:ind w:hanging="360" w:left="5040"/>
      </w:pPr>
    </w:lvl>
    <w:lvl w:ilvl="7" w:tentative="1" w:tplc="04050019">
      <w:start w:val="1"/>
      <w:numFmt w:val="lowerLetter"/>
      <w:lvlText w:val="%8."/>
      <w:lvlJc w:val="left"/>
      <w:pPr>
        <w:ind w:hanging="360" w:left="5760"/>
      </w:pPr>
    </w:lvl>
    <w:lvl w:ilvl="8" w:tentative="1" w:tplc="0405001B">
      <w:start w:val="1"/>
      <w:numFmt w:val="lowerRoman"/>
      <w:lvlText w:val="%9."/>
      <w:lvlJc w:val="right"/>
      <w:pPr>
        <w:ind w:hanging="180" w:left="6480"/>
      </w:pPr>
    </w:lvl>
  </w:abstractNum>
  <w:abstractNum w15:restartNumberingAfterBreak="0" w:abstractNumId="19">
    <w:nsid w:val="68B36C90"/>
    <w:multiLevelType w:val="hybridMultilevel"/>
    <w:tmpl w:val="260A9542"/>
    <w:lvl w:ilvl="0" w:tplc="900CB5B8">
      <w:start w:val="1"/>
      <w:numFmt w:val="bullet"/>
      <w:pStyle w:val="ListParagraph"/>
      <w:lvlText w:val=""/>
      <w:lvlJc w:val="left"/>
      <w:pPr>
        <w:ind w:hanging="360" w:left="720"/>
      </w:pPr>
      <w:rPr>
        <w:rFonts w:ascii="Symbol" w:hAnsi="Symbol" w:hint="default"/>
      </w:rPr>
    </w:lvl>
    <w:lvl w:ilvl="1" w:tentative="1" w:tplc="04090003">
      <w:start w:val="1"/>
      <w:numFmt w:val="bullet"/>
      <w:lvlText w:val="o"/>
      <w:lvlJc w:val="left"/>
      <w:pPr>
        <w:ind w:hanging="360" w:left="1440"/>
      </w:pPr>
      <w:rPr>
        <w:rFonts w:ascii="Courier New" w:hAnsi="Courier New" w:hint="default"/>
      </w:rPr>
    </w:lvl>
    <w:lvl w:ilvl="2" w:tentative="1" w:tplc="04090005">
      <w:start w:val="1"/>
      <w:numFmt w:val="bullet"/>
      <w:lvlText w:val=""/>
      <w:lvlJc w:val="left"/>
      <w:pPr>
        <w:ind w:hanging="360" w:left="2160"/>
      </w:pPr>
      <w:rPr>
        <w:rFonts w:ascii="Wingdings" w:hAnsi="Wingdings" w:hint="default"/>
      </w:rPr>
    </w:lvl>
    <w:lvl w:ilvl="3" w:tentative="1" w:tplc="04090001">
      <w:start w:val="1"/>
      <w:numFmt w:val="bullet"/>
      <w:lvlText w:val=""/>
      <w:lvlJc w:val="left"/>
      <w:pPr>
        <w:ind w:hanging="360" w:left="2880"/>
      </w:pPr>
      <w:rPr>
        <w:rFonts w:ascii="Symbol" w:hAnsi="Symbol" w:hint="default"/>
      </w:rPr>
    </w:lvl>
    <w:lvl w:ilvl="4" w:tentative="1" w:tplc="04090003">
      <w:start w:val="1"/>
      <w:numFmt w:val="bullet"/>
      <w:lvlText w:val="o"/>
      <w:lvlJc w:val="left"/>
      <w:pPr>
        <w:ind w:hanging="360" w:left="3600"/>
      </w:pPr>
      <w:rPr>
        <w:rFonts w:ascii="Courier New" w:hAnsi="Courier New" w:hint="default"/>
      </w:rPr>
    </w:lvl>
    <w:lvl w:ilvl="5" w:tentative="1" w:tplc="04090005">
      <w:start w:val="1"/>
      <w:numFmt w:val="bullet"/>
      <w:lvlText w:val=""/>
      <w:lvlJc w:val="left"/>
      <w:pPr>
        <w:ind w:hanging="360" w:left="4320"/>
      </w:pPr>
      <w:rPr>
        <w:rFonts w:ascii="Wingdings" w:hAnsi="Wingdings" w:hint="default"/>
      </w:rPr>
    </w:lvl>
    <w:lvl w:ilvl="6" w:tentative="1" w:tplc="04090001">
      <w:start w:val="1"/>
      <w:numFmt w:val="bullet"/>
      <w:lvlText w:val=""/>
      <w:lvlJc w:val="left"/>
      <w:pPr>
        <w:ind w:hanging="360" w:left="5040"/>
      </w:pPr>
      <w:rPr>
        <w:rFonts w:ascii="Symbol" w:hAnsi="Symbol" w:hint="default"/>
      </w:rPr>
    </w:lvl>
    <w:lvl w:ilvl="7" w:tentative="1" w:tplc="04090003">
      <w:start w:val="1"/>
      <w:numFmt w:val="bullet"/>
      <w:lvlText w:val="o"/>
      <w:lvlJc w:val="left"/>
      <w:pPr>
        <w:ind w:hanging="360" w:left="5760"/>
      </w:pPr>
      <w:rPr>
        <w:rFonts w:ascii="Courier New" w:hAnsi="Courier New" w:hint="default"/>
      </w:rPr>
    </w:lvl>
    <w:lvl w:ilvl="8" w:tentative="1" w:tplc="04090005">
      <w:start w:val="1"/>
      <w:numFmt w:val="bullet"/>
      <w:lvlText w:val=""/>
      <w:lvlJc w:val="left"/>
      <w:pPr>
        <w:ind w:hanging="360" w:left="6480"/>
      </w:pPr>
      <w:rPr>
        <w:rFonts w:ascii="Wingdings" w:hAnsi="Wingdings" w:hint="default"/>
      </w:rPr>
    </w:lvl>
  </w:abstractNum>
  <w:abstractNum w15:restartNumberingAfterBreak="0" w:abstractNumId="20">
    <w:nsid w:val="6C31745C"/>
    <w:multiLevelType w:val="hybridMultilevel"/>
    <w:tmpl w:val="730E5CC6"/>
    <w:lvl w:ilvl="0" w:tplc="3FC4BB38">
      <w:start w:val="1"/>
      <w:numFmt w:val="decimal"/>
      <w:pStyle w:val="Nadpis2-21"/>
      <w:lvlText w:val="2.%1"/>
      <w:lvlJc w:val="left"/>
      <w:pPr>
        <w:ind w:hanging="360" w:left="720"/>
      </w:pPr>
      <w:rPr>
        <w:rFonts w:hint="default"/>
      </w:rPr>
    </w:lvl>
    <w:lvl w:ilvl="1" w:tentative="1" w:tplc="04050019">
      <w:start w:val="1"/>
      <w:numFmt w:val="lowerLetter"/>
      <w:lvlText w:val="%2."/>
      <w:lvlJc w:val="left"/>
      <w:pPr>
        <w:ind w:hanging="360" w:left="1440"/>
      </w:pPr>
    </w:lvl>
    <w:lvl w:ilvl="2" w:tentative="1" w:tplc="0405001B">
      <w:start w:val="1"/>
      <w:numFmt w:val="lowerRoman"/>
      <w:lvlText w:val="%3."/>
      <w:lvlJc w:val="right"/>
      <w:pPr>
        <w:ind w:hanging="180" w:left="2160"/>
      </w:pPr>
    </w:lvl>
    <w:lvl w:ilvl="3" w:tentative="1" w:tplc="0405000F">
      <w:start w:val="1"/>
      <w:numFmt w:val="decimal"/>
      <w:lvlText w:val="%4."/>
      <w:lvlJc w:val="left"/>
      <w:pPr>
        <w:ind w:hanging="360" w:left="2880"/>
      </w:pPr>
    </w:lvl>
    <w:lvl w:ilvl="4" w:tentative="1" w:tplc="04050019">
      <w:start w:val="1"/>
      <w:numFmt w:val="lowerLetter"/>
      <w:lvlText w:val="%5."/>
      <w:lvlJc w:val="left"/>
      <w:pPr>
        <w:ind w:hanging="360" w:left="3600"/>
      </w:pPr>
    </w:lvl>
    <w:lvl w:ilvl="5" w:tentative="1" w:tplc="0405001B">
      <w:start w:val="1"/>
      <w:numFmt w:val="lowerRoman"/>
      <w:lvlText w:val="%6."/>
      <w:lvlJc w:val="right"/>
      <w:pPr>
        <w:ind w:hanging="180" w:left="4320"/>
      </w:pPr>
    </w:lvl>
    <w:lvl w:ilvl="6" w:tentative="1" w:tplc="0405000F">
      <w:start w:val="1"/>
      <w:numFmt w:val="decimal"/>
      <w:lvlText w:val="%7."/>
      <w:lvlJc w:val="left"/>
      <w:pPr>
        <w:ind w:hanging="360" w:left="5040"/>
      </w:pPr>
    </w:lvl>
    <w:lvl w:ilvl="7" w:tentative="1" w:tplc="04050019">
      <w:start w:val="1"/>
      <w:numFmt w:val="lowerLetter"/>
      <w:lvlText w:val="%8."/>
      <w:lvlJc w:val="left"/>
      <w:pPr>
        <w:ind w:hanging="360" w:left="5760"/>
      </w:pPr>
    </w:lvl>
    <w:lvl w:ilvl="8" w:tentative="1" w:tplc="0405001B">
      <w:start w:val="1"/>
      <w:numFmt w:val="lowerRoman"/>
      <w:lvlText w:val="%9."/>
      <w:lvlJc w:val="right"/>
      <w:pPr>
        <w:ind w:hanging="180" w:left="6480"/>
      </w:pPr>
    </w:lvl>
  </w:abstractNum>
  <w:abstractNum w15:restartNumberingAfterBreak="0" w:abstractNumId="21">
    <w:nsid w:val="7D01651C"/>
    <w:multiLevelType w:val="hybridMultilevel"/>
    <w:tmpl w:val="7CEAB4CC"/>
    <w:lvl w:ilvl="0" w:tplc="8FAE9BFC">
      <w:start w:val="11"/>
      <w:numFmt w:val="bullet"/>
      <w:lvlText w:val="-"/>
      <w:lvlJc w:val="left"/>
      <w:pPr>
        <w:ind w:hanging="360" w:left="720"/>
      </w:pPr>
      <w:rPr>
        <w:rFonts w:ascii="Calibri Light" w:cs="Calibri Light" w:eastAsia="Calibri" w:hAnsi="Calibri Light" w:hint="default"/>
      </w:rPr>
    </w:lvl>
    <w:lvl w:ilvl="1" w:tentative="1" w:tplc="04090003">
      <w:start w:val="1"/>
      <w:numFmt w:val="bullet"/>
      <w:lvlText w:val="o"/>
      <w:lvlJc w:val="left"/>
      <w:pPr>
        <w:ind w:hanging="360" w:left="1440"/>
      </w:pPr>
      <w:rPr>
        <w:rFonts w:ascii="Courier New" w:cs="Courier New" w:hAnsi="Courier New" w:hint="default"/>
      </w:rPr>
    </w:lvl>
    <w:lvl w:ilvl="2" w:tentative="1" w:tplc="04090005">
      <w:start w:val="1"/>
      <w:numFmt w:val="bullet"/>
      <w:lvlText w:val=""/>
      <w:lvlJc w:val="left"/>
      <w:pPr>
        <w:ind w:hanging="360" w:left="2160"/>
      </w:pPr>
      <w:rPr>
        <w:rFonts w:ascii="Wingdings" w:hAnsi="Wingdings" w:hint="default"/>
      </w:rPr>
    </w:lvl>
    <w:lvl w:ilvl="3" w:tentative="1" w:tplc="04090001">
      <w:start w:val="1"/>
      <w:numFmt w:val="bullet"/>
      <w:lvlText w:val=""/>
      <w:lvlJc w:val="left"/>
      <w:pPr>
        <w:ind w:hanging="360" w:left="2880"/>
      </w:pPr>
      <w:rPr>
        <w:rFonts w:ascii="Symbol" w:hAnsi="Symbol" w:hint="default"/>
      </w:rPr>
    </w:lvl>
    <w:lvl w:ilvl="4" w:tentative="1" w:tplc="04090003">
      <w:start w:val="1"/>
      <w:numFmt w:val="bullet"/>
      <w:lvlText w:val="o"/>
      <w:lvlJc w:val="left"/>
      <w:pPr>
        <w:ind w:hanging="360" w:left="3600"/>
      </w:pPr>
      <w:rPr>
        <w:rFonts w:ascii="Courier New" w:cs="Courier New" w:hAnsi="Courier New" w:hint="default"/>
      </w:rPr>
    </w:lvl>
    <w:lvl w:ilvl="5" w:tentative="1" w:tplc="04090005">
      <w:start w:val="1"/>
      <w:numFmt w:val="bullet"/>
      <w:lvlText w:val=""/>
      <w:lvlJc w:val="left"/>
      <w:pPr>
        <w:ind w:hanging="360" w:left="4320"/>
      </w:pPr>
      <w:rPr>
        <w:rFonts w:ascii="Wingdings" w:hAnsi="Wingdings" w:hint="default"/>
      </w:rPr>
    </w:lvl>
    <w:lvl w:ilvl="6" w:tentative="1" w:tplc="04090001">
      <w:start w:val="1"/>
      <w:numFmt w:val="bullet"/>
      <w:lvlText w:val=""/>
      <w:lvlJc w:val="left"/>
      <w:pPr>
        <w:ind w:hanging="360" w:left="5040"/>
      </w:pPr>
      <w:rPr>
        <w:rFonts w:ascii="Symbol" w:hAnsi="Symbol" w:hint="default"/>
      </w:rPr>
    </w:lvl>
    <w:lvl w:ilvl="7" w:tentative="1" w:tplc="04090003">
      <w:start w:val="1"/>
      <w:numFmt w:val="bullet"/>
      <w:lvlText w:val="o"/>
      <w:lvlJc w:val="left"/>
      <w:pPr>
        <w:ind w:hanging="360" w:left="5760"/>
      </w:pPr>
      <w:rPr>
        <w:rFonts w:ascii="Courier New" w:cs="Courier New" w:hAnsi="Courier New" w:hint="default"/>
      </w:rPr>
    </w:lvl>
    <w:lvl w:ilvl="8" w:tentative="1" w:tplc="04090005">
      <w:start w:val="1"/>
      <w:numFmt w:val="bullet"/>
      <w:lvlText w:val=""/>
      <w:lvlJc w:val="left"/>
      <w:pPr>
        <w:ind w:hanging="360" w:left="6480"/>
      </w:pPr>
      <w:rPr>
        <w:rFonts w:ascii="Wingdings" w:hAnsi="Wingdings" w:hint="default"/>
      </w:rPr>
    </w:lvl>
  </w:abstractNum>
  <w:abstractNum w15:restartNumberingAfterBreak="0" w:abstractNumId="22">
    <w:nsid w:val="7E071DEC"/>
    <w:multiLevelType w:val="hybridMultilevel"/>
    <w:tmpl w:val="4D566D9C"/>
    <w:lvl w:ilvl="0" w:tplc="0405000F">
      <w:start w:val="1"/>
      <w:numFmt w:val="decimal"/>
      <w:lvlText w:val="%1."/>
      <w:lvlJc w:val="left"/>
      <w:pPr>
        <w:ind w:hanging="360" w:left="720"/>
      </w:pPr>
    </w:lvl>
    <w:lvl w:ilvl="1" w:tentative="1" w:tplc="04050019">
      <w:start w:val="1"/>
      <w:numFmt w:val="lowerLetter"/>
      <w:lvlText w:val="%2."/>
      <w:lvlJc w:val="left"/>
      <w:pPr>
        <w:ind w:hanging="360" w:left="1440"/>
      </w:pPr>
    </w:lvl>
    <w:lvl w:ilvl="2" w:tentative="1" w:tplc="0405001B">
      <w:start w:val="1"/>
      <w:numFmt w:val="lowerRoman"/>
      <w:lvlText w:val="%3."/>
      <w:lvlJc w:val="right"/>
      <w:pPr>
        <w:ind w:hanging="180" w:left="2160"/>
      </w:pPr>
    </w:lvl>
    <w:lvl w:ilvl="3" w:tentative="1" w:tplc="0405000F">
      <w:start w:val="1"/>
      <w:numFmt w:val="decimal"/>
      <w:lvlText w:val="%4."/>
      <w:lvlJc w:val="left"/>
      <w:pPr>
        <w:ind w:hanging="360" w:left="2880"/>
      </w:pPr>
    </w:lvl>
    <w:lvl w:ilvl="4" w:tentative="1" w:tplc="04050019">
      <w:start w:val="1"/>
      <w:numFmt w:val="lowerLetter"/>
      <w:lvlText w:val="%5."/>
      <w:lvlJc w:val="left"/>
      <w:pPr>
        <w:ind w:hanging="360" w:left="3600"/>
      </w:pPr>
    </w:lvl>
    <w:lvl w:ilvl="5" w:tentative="1" w:tplc="0405001B">
      <w:start w:val="1"/>
      <w:numFmt w:val="lowerRoman"/>
      <w:lvlText w:val="%6."/>
      <w:lvlJc w:val="right"/>
      <w:pPr>
        <w:ind w:hanging="180" w:left="4320"/>
      </w:pPr>
    </w:lvl>
    <w:lvl w:ilvl="6" w:tentative="1" w:tplc="0405000F">
      <w:start w:val="1"/>
      <w:numFmt w:val="decimal"/>
      <w:lvlText w:val="%7."/>
      <w:lvlJc w:val="left"/>
      <w:pPr>
        <w:ind w:hanging="360" w:left="5040"/>
      </w:pPr>
    </w:lvl>
    <w:lvl w:ilvl="7" w:tentative="1" w:tplc="04050019">
      <w:start w:val="1"/>
      <w:numFmt w:val="lowerLetter"/>
      <w:lvlText w:val="%8."/>
      <w:lvlJc w:val="left"/>
      <w:pPr>
        <w:ind w:hanging="360" w:left="5760"/>
      </w:pPr>
    </w:lvl>
    <w:lvl w:ilvl="8" w:tentative="1" w:tplc="0405001B">
      <w:start w:val="1"/>
      <w:numFmt w:val="lowerRoman"/>
      <w:lvlText w:val="%9."/>
      <w:lvlJc w:val="right"/>
      <w:pPr>
        <w:ind w:hanging="180" w:left="6480"/>
      </w:pPr>
    </w:lvl>
  </w:abstractNum>
  <w:abstractNum w15:restartNumberingAfterBreak="0" w:abstractNumId="23">
    <w:nsid w:val="7EFD7322"/>
    <w:multiLevelType w:val="hybridMultilevel"/>
    <w:tmpl w:val="1D8011F2"/>
    <w:lvl w:ilvl="0" w:tplc="EC702BA2">
      <w:start w:val="1"/>
      <w:numFmt w:val="decimal"/>
      <w:pStyle w:val="Napis1-slovan"/>
      <w:lvlText w:val="%1."/>
      <w:lvlJc w:val="left"/>
      <w:pPr>
        <w:ind w:hanging="360" w:left="720"/>
      </w:pPr>
    </w:lvl>
    <w:lvl w:ilvl="1" w:tentative="1" w:tplc="04050019">
      <w:start w:val="1"/>
      <w:numFmt w:val="lowerLetter"/>
      <w:lvlText w:val="%2."/>
      <w:lvlJc w:val="left"/>
      <w:pPr>
        <w:ind w:hanging="360" w:left="1440"/>
      </w:pPr>
    </w:lvl>
    <w:lvl w:ilvl="2" w:tentative="1" w:tplc="0405001B">
      <w:start w:val="1"/>
      <w:numFmt w:val="lowerRoman"/>
      <w:lvlText w:val="%3."/>
      <w:lvlJc w:val="right"/>
      <w:pPr>
        <w:ind w:hanging="180" w:left="2160"/>
      </w:pPr>
    </w:lvl>
    <w:lvl w:ilvl="3" w:tentative="1" w:tplc="0405000F">
      <w:start w:val="1"/>
      <w:numFmt w:val="decimal"/>
      <w:lvlText w:val="%4."/>
      <w:lvlJc w:val="left"/>
      <w:pPr>
        <w:ind w:hanging="360" w:left="2880"/>
      </w:pPr>
    </w:lvl>
    <w:lvl w:ilvl="4" w:tentative="1" w:tplc="04050019">
      <w:start w:val="1"/>
      <w:numFmt w:val="lowerLetter"/>
      <w:lvlText w:val="%5."/>
      <w:lvlJc w:val="left"/>
      <w:pPr>
        <w:ind w:hanging="360" w:left="3600"/>
      </w:pPr>
    </w:lvl>
    <w:lvl w:ilvl="5" w:tentative="1" w:tplc="0405001B">
      <w:start w:val="1"/>
      <w:numFmt w:val="lowerRoman"/>
      <w:lvlText w:val="%6."/>
      <w:lvlJc w:val="right"/>
      <w:pPr>
        <w:ind w:hanging="180" w:left="4320"/>
      </w:pPr>
    </w:lvl>
    <w:lvl w:ilvl="6" w:tentative="1" w:tplc="0405000F">
      <w:start w:val="1"/>
      <w:numFmt w:val="decimal"/>
      <w:lvlText w:val="%7."/>
      <w:lvlJc w:val="left"/>
      <w:pPr>
        <w:ind w:hanging="360" w:left="5040"/>
      </w:pPr>
    </w:lvl>
    <w:lvl w:ilvl="7" w:tentative="1" w:tplc="04050019">
      <w:start w:val="1"/>
      <w:numFmt w:val="lowerLetter"/>
      <w:lvlText w:val="%8."/>
      <w:lvlJc w:val="left"/>
      <w:pPr>
        <w:ind w:hanging="360" w:left="5760"/>
      </w:pPr>
    </w:lvl>
    <w:lvl w:ilvl="8" w:tentative="1" w:tplc="0405001B">
      <w:start w:val="1"/>
      <w:numFmt w:val="lowerRoman"/>
      <w:lvlText w:val="%9."/>
      <w:lvlJc w:val="right"/>
      <w:pPr>
        <w:ind w:hanging="180" w:left="6480"/>
      </w:pPr>
    </w:lvl>
  </w:abstractNum>
  <w:abstractNum w15:restartNumberingAfterBreak="0" w:abstractNumId="24">
    <w:nsid w:val="7F720E16"/>
    <w:multiLevelType w:val="hybridMultilevel"/>
    <w:tmpl w:val="067ABF2C"/>
    <w:lvl w:ilvl="0" w:tplc="F78A29C0">
      <w:numFmt w:val="bullet"/>
      <w:lvlText w:val="-"/>
      <w:lvlJc w:val="left"/>
      <w:pPr>
        <w:ind w:hanging="360" w:left="720"/>
      </w:pPr>
      <w:rPr>
        <w:rFonts w:ascii="Calibri Light" w:cs="Times New Roman" w:eastAsia="Calibri" w:hAnsi="Calibri Light" w:hint="default"/>
      </w:rPr>
    </w:lvl>
    <w:lvl w:ilvl="1" w:tentative="1" w:tplc="04050003">
      <w:start w:val="1"/>
      <w:numFmt w:val="bullet"/>
      <w:lvlText w:val="o"/>
      <w:lvlJc w:val="left"/>
      <w:pPr>
        <w:ind w:hanging="360" w:left="1440"/>
      </w:pPr>
      <w:rPr>
        <w:rFonts w:ascii="Courier New" w:cs="Courier New" w:hAnsi="Courier New" w:hint="default"/>
      </w:rPr>
    </w:lvl>
    <w:lvl w:ilvl="2" w:tentative="1" w:tplc="04050005">
      <w:start w:val="1"/>
      <w:numFmt w:val="bullet"/>
      <w:lvlText w:val=""/>
      <w:lvlJc w:val="left"/>
      <w:pPr>
        <w:ind w:hanging="360" w:left="2160"/>
      </w:pPr>
      <w:rPr>
        <w:rFonts w:ascii="Wingdings" w:hAnsi="Wingdings" w:hint="default"/>
      </w:rPr>
    </w:lvl>
    <w:lvl w:ilvl="3" w:tentative="1" w:tplc="04050001">
      <w:start w:val="1"/>
      <w:numFmt w:val="bullet"/>
      <w:lvlText w:val=""/>
      <w:lvlJc w:val="left"/>
      <w:pPr>
        <w:ind w:hanging="360" w:left="2880"/>
      </w:pPr>
      <w:rPr>
        <w:rFonts w:ascii="Symbol" w:hAnsi="Symbol" w:hint="default"/>
      </w:rPr>
    </w:lvl>
    <w:lvl w:ilvl="4" w:tentative="1" w:tplc="04050003">
      <w:start w:val="1"/>
      <w:numFmt w:val="bullet"/>
      <w:lvlText w:val="o"/>
      <w:lvlJc w:val="left"/>
      <w:pPr>
        <w:ind w:hanging="360" w:left="3600"/>
      </w:pPr>
      <w:rPr>
        <w:rFonts w:ascii="Courier New" w:cs="Courier New" w:hAnsi="Courier New" w:hint="default"/>
      </w:rPr>
    </w:lvl>
    <w:lvl w:ilvl="5" w:tentative="1" w:tplc="04050005">
      <w:start w:val="1"/>
      <w:numFmt w:val="bullet"/>
      <w:lvlText w:val=""/>
      <w:lvlJc w:val="left"/>
      <w:pPr>
        <w:ind w:hanging="360" w:left="4320"/>
      </w:pPr>
      <w:rPr>
        <w:rFonts w:ascii="Wingdings" w:hAnsi="Wingdings" w:hint="default"/>
      </w:rPr>
    </w:lvl>
    <w:lvl w:ilvl="6" w:tentative="1" w:tplc="04050001">
      <w:start w:val="1"/>
      <w:numFmt w:val="bullet"/>
      <w:lvlText w:val=""/>
      <w:lvlJc w:val="left"/>
      <w:pPr>
        <w:ind w:hanging="360" w:left="5040"/>
      </w:pPr>
      <w:rPr>
        <w:rFonts w:ascii="Symbol" w:hAnsi="Symbol" w:hint="default"/>
      </w:rPr>
    </w:lvl>
    <w:lvl w:ilvl="7" w:tentative="1" w:tplc="04050003">
      <w:start w:val="1"/>
      <w:numFmt w:val="bullet"/>
      <w:lvlText w:val="o"/>
      <w:lvlJc w:val="left"/>
      <w:pPr>
        <w:ind w:hanging="360" w:left="5760"/>
      </w:pPr>
      <w:rPr>
        <w:rFonts w:ascii="Courier New" w:cs="Courier New" w:hAnsi="Courier New" w:hint="default"/>
      </w:rPr>
    </w:lvl>
    <w:lvl w:ilvl="8" w:tentative="1" w:tplc="04050005">
      <w:start w:val="1"/>
      <w:numFmt w:val="bullet"/>
      <w:lvlText w:val=""/>
      <w:lvlJc w:val="left"/>
      <w:pPr>
        <w:ind w:hanging="360" w:left="6480"/>
      </w:pPr>
      <w:rPr>
        <w:rFonts w:ascii="Wingdings" w:hAnsi="Wingdings" w:hint="default"/>
      </w:rPr>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num w:numId="1">
    <w:abstractNumId w:val="15"/>
  </w:num>
  <w:num w:numId="2">
    <w:abstractNumId w:val="19"/>
  </w:num>
  <w:num w:numId="3">
    <w:abstractNumId w:val="17"/>
  </w:num>
  <w:num w:numId="4">
    <w:abstractNumId w:val="24"/>
  </w:num>
  <w:num w:numId="5">
    <w:abstractNumId w:val="22"/>
  </w:num>
  <w:num w:numId="6">
    <w:abstractNumId w:val="12"/>
  </w:num>
  <w:num w:numId="7">
    <w:abstractNumId w:val="18"/>
  </w:num>
  <w:num w:numId="8">
    <w:abstractNumId w:val="14"/>
  </w:num>
  <w:num w:numId="9">
    <w:abstractNumId w:val="23"/>
  </w:num>
  <w:num w:numId="10">
    <w:abstractNumId w:val="11"/>
  </w:num>
  <w:num w:numId="11">
    <w:abstractNumId w:val="20"/>
  </w:num>
  <w:num w:numId="12">
    <w:abstractNumId w:val="16"/>
  </w:num>
  <w:num w:numId="13">
    <w:abstractNumId w:val="21"/>
  </w:num>
  <w:num w:numId="14">
    <w:abstractNumId w:val="13"/>
  </w:num>
  <w:num w:numId="15">
    <w:abstractNumId w:val="10"/>
  </w:num>
  <w:num w:numId="16">
    <w:abstractNumId w:val="0"/>
  </w:num>
  <w:num w:numId="17">
    <w:abstractNumId w:val="1"/>
  </w:num>
  <w:num w:numId="18">
    <w:abstractNumId w:val="2"/>
  </w:num>
  <w:num w:numId="19">
    <w:abstractNumId w:val="3"/>
  </w:num>
  <w:num w:numId="20">
    <w:abstractNumId w:val="8"/>
  </w:num>
  <w:num w:numId="21">
    <w:abstractNumId w:val="4"/>
  </w:num>
  <w:num w:numId="22">
    <w:abstractNumId w:val="5"/>
  </w:num>
  <w:num w:numId="23">
    <w:abstractNumId w:val="6"/>
  </w:num>
  <w:num w:numId="24">
    <w:abstractNumId w:val="7"/>
  </w:num>
  <w:num w:numId="25">
    <w:abstractNumId w:val="9"/>
  </w: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1"/>
  </w:num>
  <w:num w:numId="10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embedSystemFonts/>
  <w:stylePaneFormatFilter w:val="0004"/>
  <w:footnotePr>
    <w:footnote w:id="-1"/>
    <w:footnote w:id="0"/>
  </w:footnotePr>
  <w:doNotTrackMoves/>
  <w:drawingGridHorizontalSpacing w:val="360"/>
  <w:drawingGridVerticalSpacing w:val="360"/>
  <w:displayHorizontalDrawingGridEvery w:val="0"/>
  <w:displayVerticalDrawingGridEvery w:val="0"/>
  <w:savePreviewPicture/>
  <w:rsids>
  </w:rsids>
  <w:clrSchemeMapping w:accent1="accent1" w:accent2="accent2" w:accent3="accent3" w:accent4="accent4" w:accent5="accent5" w:accent6="accent6" w:bg1="light1" w:bg2="light2" w:followedHyperlink="followedHyperlink" w:hyperlink="hyperlink" w:t1="dark1" w:t2="dark2"/>
  <w:zoom w:percent="163"/>
  <w:proofState w:grammar="clean" w:spelling="clean"/>
  <w:defaultTabStop w:val="720"/>
  <w:hyphenationZone w:val="425"/>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bidi="ar-SA" w:eastAsia="ja-JP" w:val="en-GB"/>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heme="minorHAnsi" w:cstheme="minorBidi" w:eastAsiaTheme="minorHAnsi" w:hAnsiTheme="minorHAnsi"/>
        <w:sz w:val="22"/>
        <w:szCs w:val="22"/>
        <w:lang w:bidi="ar-SA" w:eastAsia="en-US" w:val="cs"/>
      </w:rPr>
    </w:rPrDefault>
    <w:pPrDefault>
      <w:pPr>
        <w:spacing w:after="200" w:line="276" w:lineRule="auto"/>
      </w:pPr>
    </w:pPrDefault>
  </w:docDefaults>
  <w:latentStyles w:count="376" w:defLockedState="0" w:defQFormat="0" w:defSemiHidden="0" w:defUIPriority="99" w:defUnhideWhenUsed="0">
    <w:lsdException w:name="Normal" w:qFormat="1" w:uiPriority="0"/>
    <w:lsdException w:name="heading 1" w:qFormat="1" w:uiPriority="0"/>
    <w:lsdException w:name="heading 2" w:qFormat="1" w:semiHidden="1" w:uiPriority="0" w:unhideWhenUsed="1"/>
    <w:lsdException w:name="heading 3" w:qFormat="1"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6"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qFormat="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uiPriority="31"/>
    <w:lsdException w:name="Intense Reference" w:uiPriority="32"/>
    <w:lsdException w:name="Book Title"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sid w:val="00897AFC"/>
    <w:pPr>
      <w:spacing w:after="120" w:line="264" w:lineRule="auto"/>
      <w:jc w:val="both"/>
    </w:pPr>
    <w:rPr>
      <w:rFonts w:ascii="Calibri Light" w:cs="Times New Roman" w:eastAsia="Calibri" w:hAnsi="Calibri Light"/>
      <w:color w:themeColor="text1" w:themeTint="F2" w:val="0D0D0D"/>
      <w:lang w:val="cs"/>
    </w:rPr>
  </w:style>
  <w:style w:styleId="Heading1" w:type="paragraph">
    <w:name w:val="heading 1"/>
    <w:basedOn w:val="Normal"/>
    <w:next w:val="Normal"/>
    <w:link w:val="Heading1Char"/>
    <w:autoRedefine/>
    <w:qFormat/>
    <w:rsid w:val="0021277B"/>
    <w:pPr>
      <w:keepNext/>
      <w:tabs>
        <w:tab w:pos="8080" w:val="left"/>
      </w:tabs>
      <w:suppressAutoHyphens/>
      <w:spacing w:before="120"/>
      <w:ind w:right="72"/>
      <w:jc w:val="left"/>
      <w:outlineLvl w:val="0"/>
    </w:pPr>
    <w:rPr>
      <w:rFonts w:ascii="Calibri" w:cstheme="majorBidi" w:eastAsiaTheme="majorEastAsia" w:hAnsi="Calibri"/>
      <w:bCs/>
      <w:color w:themeColor="text2" w:val="1F497D"/>
      <w:kern w:val="32"/>
      <w:sz w:val="32"/>
      <w:szCs w:val="32"/>
    </w:rPr>
  </w:style>
  <w:style w:styleId="Heading2" w:type="paragraph">
    <w:name w:val="heading 2"/>
    <w:basedOn w:val="Normal"/>
    <w:next w:val="Normal"/>
    <w:link w:val="Heading2Char"/>
    <w:unhideWhenUsed/>
    <w:qFormat/>
    <w:rsid w:val="000E0065"/>
    <w:pPr>
      <w:keepNext/>
      <w:suppressAutoHyphens/>
      <w:spacing w:before="360"/>
      <w:jc w:val="left"/>
      <w:outlineLvl w:val="1"/>
    </w:pPr>
    <w:rPr>
      <w:rFonts w:ascii="Calibri" w:cstheme="majorBidi" w:eastAsiaTheme="majorEastAsia" w:hAnsi="Calibri"/>
      <w:bCs/>
      <w:iCs/>
      <w:color w:val="064094"/>
      <w:sz w:val="24"/>
      <w:szCs w:val="28"/>
    </w:rPr>
  </w:style>
  <w:style w:styleId="Heading3" w:type="paragraph">
    <w:name w:val="heading 3"/>
    <w:basedOn w:val="Normal"/>
    <w:next w:val="Normal"/>
    <w:link w:val="Heading3Char"/>
    <w:uiPriority w:val="9"/>
    <w:unhideWhenUsed/>
    <w:qFormat/>
    <w:rsid w:val="00EE4CA0"/>
    <w:pPr>
      <w:keepNext/>
      <w:keepLines/>
      <w:numPr>
        <w:ilvl w:val="2"/>
        <w:numId w:val="3"/>
      </w:numPr>
      <w:spacing w:after="0" w:before="200"/>
      <w:jc w:val="left"/>
      <w:outlineLvl w:val="2"/>
    </w:pPr>
    <w:rPr>
      <w:rFonts w:cstheme="majorBidi" w:eastAsiaTheme="majorEastAsia"/>
      <w:bCs/>
      <w:iCs/>
      <w:color w:themeColor="text2" w:val="1F497D"/>
      <w:szCs w:val="24"/>
    </w:rPr>
  </w:style>
  <w:style w:styleId="Heading4" w:type="paragraph">
    <w:name w:val="heading 4"/>
    <w:basedOn w:val="Normal"/>
    <w:next w:val="Normal"/>
    <w:link w:val="Heading4Char"/>
    <w:uiPriority w:val="9"/>
    <w:unhideWhenUsed/>
    <w:rsid w:val="00EE4CA0"/>
    <w:pPr>
      <w:keepNext/>
      <w:keepLines/>
      <w:numPr>
        <w:ilvl w:val="3"/>
        <w:numId w:val="3"/>
      </w:numPr>
      <w:spacing w:after="0" w:before="200"/>
      <w:outlineLvl w:val="3"/>
    </w:pPr>
    <w:rPr>
      <w:rFonts w:cstheme="majorBidi" w:eastAsiaTheme="majorEastAsia"/>
      <w:bCs/>
      <w:iCs/>
      <w:color w:themeColor="accent1" w:val="4F81BD"/>
    </w:rPr>
  </w:style>
  <w:style w:styleId="Heading5" w:type="paragraph">
    <w:name w:val="heading 5"/>
    <w:basedOn w:val="Normal"/>
    <w:next w:val="Normal"/>
    <w:link w:val="Heading5Char"/>
    <w:uiPriority w:val="9"/>
    <w:unhideWhenUsed/>
    <w:rsid w:val="00EE4CA0"/>
    <w:pPr>
      <w:keepNext/>
      <w:keepLines/>
      <w:numPr>
        <w:ilvl w:val="4"/>
        <w:numId w:val="3"/>
      </w:numPr>
      <w:spacing w:after="0" w:before="200"/>
      <w:outlineLvl w:val="4"/>
    </w:pPr>
    <w:rPr>
      <w:rFonts w:asciiTheme="majorHAnsi" w:cstheme="majorBidi" w:eastAsiaTheme="majorEastAsia" w:hAnsiTheme="majorHAnsi"/>
      <w:color w:themeColor="accent1" w:themeShade="7F" w:val="243F60"/>
    </w:rPr>
  </w:style>
  <w:style w:styleId="Heading6" w:type="paragraph">
    <w:name w:val="heading 6"/>
    <w:basedOn w:val="Normal"/>
    <w:next w:val="Normal"/>
    <w:link w:val="Heading6Char"/>
    <w:uiPriority w:val="9"/>
    <w:semiHidden/>
    <w:unhideWhenUsed/>
    <w:rsid w:val="00EE4CA0"/>
    <w:pPr>
      <w:keepNext/>
      <w:keepLines/>
      <w:numPr>
        <w:ilvl w:val="5"/>
        <w:numId w:val="3"/>
      </w:numPr>
      <w:spacing w:after="0" w:before="200"/>
      <w:outlineLvl w:val="5"/>
    </w:pPr>
    <w:rPr>
      <w:rFonts w:asciiTheme="majorHAnsi" w:cstheme="majorBidi" w:eastAsiaTheme="majorEastAsia" w:hAnsiTheme="majorHAnsi"/>
      <w:i/>
      <w:iCs/>
      <w:color w:themeColor="accent1" w:themeShade="7F" w:val="243F60"/>
    </w:rPr>
  </w:style>
  <w:style w:styleId="Heading7" w:type="paragraph">
    <w:name w:val="heading 7"/>
    <w:basedOn w:val="Normal"/>
    <w:next w:val="Normal"/>
    <w:link w:val="Heading7Char"/>
    <w:uiPriority w:val="9"/>
    <w:semiHidden/>
    <w:unhideWhenUsed/>
    <w:qFormat/>
    <w:rsid w:val="00EE4CA0"/>
    <w:pPr>
      <w:keepNext/>
      <w:keepLines/>
      <w:numPr>
        <w:ilvl w:val="6"/>
        <w:numId w:val="3"/>
      </w:numPr>
      <w:spacing w:after="0" w:before="200"/>
      <w:outlineLvl w:val="6"/>
    </w:pPr>
    <w:rPr>
      <w:rFonts w:asciiTheme="majorHAnsi" w:cstheme="majorBidi" w:eastAsiaTheme="majorEastAsia" w:hAnsiTheme="majorHAnsi"/>
      <w:i/>
      <w:iCs/>
      <w:color w:themeColor="text1" w:themeTint="BF" w:val="404040"/>
    </w:rPr>
  </w:style>
  <w:style w:styleId="Heading8" w:type="paragraph">
    <w:name w:val="heading 8"/>
    <w:basedOn w:val="Normal"/>
    <w:next w:val="Normal"/>
    <w:link w:val="Heading8Char"/>
    <w:uiPriority w:val="9"/>
    <w:semiHidden/>
    <w:unhideWhenUsed/>
    <w:qFormat/>
    <w:rsid w:val="00EE4CA0"/>
    <w:pPr>
      <w:keepNext/>
      <w:keepLines/>
      <w:numPr>
        <w:ilvl w:val="7"/>
        <w:numId w:val="3"/>
      </w:numPr>
      <w:spacing w:after="0" w:before="200"/>
      <w:outlineLvl w:val="7"/>
    </w:pPr>
    <w:rPr>
      <w:rFonts w:asciiTheme="majorHAnsi" w:cstheme="majorBidi" w:eastAsiaTheme="majorEastAsia" w:hAnsiTheme="majorHAnsi"/>
      <w:color w:themeColor="text1" w:themeTint="BF" w:val="404040"/>
      <w:szCs w:val="20"/>
    </w:rPr>
  </w:style>
  <w:style w:styleId="Heading9" w:type="paragraph">
    <w:name w:val="heading 9"/>
    <w:basedOn w:val="Normal"/>
    <w:next w:val="Normal"/>
    <w:link w:val="Heading9Char"/>
    <w:uiPriority w:val="9"/>
    <w:semiHidden/>
    <w:unhideWhenUsed/>
    <w:qFormat/>
    <w:rsid w:val="00EE4CA0"/>
    <w:pPr>
      <w:keepNext/>
      <w:keepLines/>
      <w:numPr>
        <w:ilvl w:val="8"/>
        <w:numId w:val="3"/>
      </w:numPr>
      <w:spacing w:after="0" w:before="200"/>
      <w:outlineLvl w:val="8"/>
    </w:pPr>
    <w:rPr>
      <w:rFonts w:asciiTheme="majorHAnsi" w:cstheme="majorBidi" w:eastAsiaTheme="majorEastAsia" w:hAnsiTheme="majorHAnsi"/>
      <w:i/>
      <w:iCs/>
      <w:color w:themeColor="text1" w:themeTint="BF" w:val="404040"/>
      <w:szCs w:val="20"/>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rsid w:val="0021277B"/>
    <w:rPr>
      <w:rFonts w:ascii="Calibri" w:cstheme="majorBidi" w:eastAsiaTheme="majorEastAsia" w:hAnsi="Calibri"/>
      <w:bCs/>
      <w:color w:themeColor="text2" w:val="1F497D"/>
      <w:kern w:val="32"/>
      <w:sz w:val="32"/>
      <w:szCs w:val="32"/>
      <w:lang w:val="cs"/>
    </w:rPr>
  </w:style>
  <w:style w:customStyle="1" w:styleId="Heading2Char" w:type="character">
    <w:name w:val="Heading 2 Char"/>
    <w:basedOn w:val="DefaultParagraphFont"/>
    <w:link w:val="Heading2"/>
    <w:rsid w:val="000E0065"/>
    <w:rPr>
      <w:rFonts w:ascii="Calibri" w:cstheme="majorBidi" w:eastAsiaTheme="majorEastAsia" w:hAnsi="Calibri"/>
      <w:bCs/>
      <w:iCs/>
      <w:color w:val="064094"/>
      <w:sz w:val="24"/>
      <w:szCs w:val="28"/>
      <w:lang w:val="cs"/>
    </w:rPr>
  </w:style>
  <w:style w:customStyle="1" w:styleId="Heading3Char" w:type="character">
    <w:name w:val="Heading 3 Char"/>
    <w:basedOn w:val="DefaultParagraphFont"/>
    <w:link w:val="Heading3"/>
    <w:uiPriority w:val="9"/>
    <w:rsid w:val="00EE4CA0"/>
    <w:rPr>
      <w:rFonts w:ascii="Calibri Light" w:cstheme="majorBidi" w:eastAsiaTheme="majorEastAsia" w:hAnsi="Calibri Light"/>
      <w:bCs/>
      <w:iCs/>
      <w:color w:themeColor="text2" w:val="1F497D"/>
      <w:szCs w:val="24"/>
      <w:lang w:val="cs"/>
    </w:rPr>
  </w:style>
  <w:style w:customStyle="1" w:styleId="Heading4Char" w:type="character">
    <w:name w:val="Heading 4 Char"/>
    <w:basedOn w:val="DefaultParagraphFont"/>
    <w:link w:val="Heading4"/>
    <w:uiPriority w:val="9"/>
    <w:rsid w:val="00EE4CA0"/>
    <w:rPr>
      <w:rFonts w:ascii="Calibri Light" w:cstheme="majorBidi" w:eastAsiaTheme="majorEastAsia" w:hAnsi="Calibri Light"/>
      <w:bCs/>
      <w:iCs/>
      <w:color w:themeColor="accent1" w:val="4F81BD"/>
      <w:lang w:val="cs"/>
    </w:rPr>
  </w:style>
  <w:style w:customStyle="1" w:styleId="Heading5Char" w:type="character">
    <w:name w:val="Heading 5 Char"/>
    <w:basedOn w:val="DefaultParagraphFont"/>
    <w:link w:val="Heading5"/>
    <w:uiPriority w:val="9"/>
    <w:rsid w:val="00EE4CA0"/>
    <w:rPr>
      <w:rFonts w:asciiTheme="majorHAnsi" w:cstheme="majorBidi" w:eastAsiaTheme="majorEastAsia" w:hAnsiTheme="majorHAnsi"/>
      <w:color w:themeColor="accent1" w:themeShade="7F" w:val="243F60"/>
      <w:lang w:val="cs"/>
    </w:rPr>
  </w:style>
  <w:style w:customStyle="1" w:styleId="Heading6Char" w:type="character">
    <w:name w:val="Heading 6 Char"/>
    <w:basedOn w:val="DefaultParagraphFont"/>
    <w:link w:val="Heading6"/>
    <w:uiPriority w:val="9"/>
    <w:semiHidden/>
    <w:rsid w:val="00EE4CA0"/>
    <w:rPr>
      <w:rFonts w:asciiTheme="majorHAnsi" w:cstheme="majorBidi" w:eastAsiaTheme="majorEastAsia" w:hAnsiTheme="majorHAnsi"/>
      <w:i/>
      <w:iCs/>
      <w:color w:themeColor="accent1" w:themeShade="7F" w:val="243F60"/>
      <w:lang w:val="cs"/>
    </w:rPr>
  </w:style>
  <w:style w:customStyle="1" w:styleId="Heading7Char" w:type="character">
    <w:name w:val="Heading 7 Char"/>
    <w:basedOn w:val="DefaultParagraphFont"/>
    <w:link w:val="Heading7"/>
    <w:uiPriority w:val="9"/>
    <w:semiHidden/>
    <w:rsid w:val="00EE4CA0"/>
    <w:rPr>
      <w:rFonts w:asciiTheme="majorHAnsi" w:cstheme="majorBidi" w:eastAsiaTheme="majorEastAsia" w:hAnsiTheme="majorHAnsi"/>
      <w:i/>
      <w:iCs/>
      <w:color w:themeColor="text1" w:themeTint="BF" w:val="404040"/>
      <w:lang w:val="cs"/>
    </w:rPr>
  </w:style>
  <w:style w:customStyle="1" w:styleId="Heading8Char" w:type="character">
    <w:name w:val="Heading 8 Char"/>
    <w:basedOn w:val="DefaultParagraphFont"/>
    <w:link w:val="Heading8"/>
    <w:uiPriority w:val="9"/>
    <w:semiHidden/>
    <w:rsid w:val="00EE4CA0"/>
    <w:rPr>
      <w:rFonts w:asciiTheme="majorHAnsi" w:cstheme="majorBidi" w:eastAsiaTheme="majorEastAsia" w:hAnsiTheme="majorHAnsi"/>
      <w:color w:themeColor="text1" w:themeTint="BF" w:val="404040"/>
      <w:szCs w:val="20"/>
      <w:lang w:val="cs"/>
    </w:rPr>
  </w:style>
  <w:style w:customStyle="1" w:styleId="Heading9Char" w:type="character">
    <w:name w:val="Heading 9 Char"/>
    <w:basedOn w:val="DefaultParagraphFont"/>
    <w:link w:val="Heading9"/>
    <w:uiPriority w:val="9"/>
    <w:semiHidden/>
    <w:rsid w:val="00EE4CA0"/>
    <w:rPr>
      <w:rFonts w:asciiTheme="majorHAnsi" w:cstheme="majorBidi" w:eastAsiaTheme="majorEastAsia" w:hAnsiTheme="majorHAnsi"/>
      <w:i/>
      <w:iCs/>
      <w:color w:themeColor="text1" w:themeTint="BF" w:val="404040"/>
      <w:szCs w:val="20"/>
      <w:lang w:val="cs"/>
    </w:rPr>
  </w:style>
  <w:style w:styleId="ListParagraph" w:type="paragraph">
    <w:name w:val="List Paragraph"/>
    <w:basedOn w:val="Normal"/>
    <w:uiPriority w:val="34"/>
    <w:qFormat/>
    <w:rsid w:val="003E33E8"/>
    <w:pPr>
      <w:numPr>
        <w:numId w:val="2"/>
      </w:numPr>
      <w:contextualSpacing/>
    </w:pPr>
  </w:style>
  <w:style w:styleId="NoSpacing" w:type="paragraph">
    <w:name w:val="No Spacing"/>
    <w:uiPriority w:val="1"/>
    <w:rsid w:val="00CB2014"/>
    <w:pPr>
      <w:spacing w:after="0" w:line="240" w:lineRule="auto"/>
    </w:pPr>
  </w:style>
  <w:style w:styleId="Hyperlink" w:type="character">
    <w:name w:val="Hyperlink"/>
    <w:basedOn w:val="DefaultParagraphFont"/>
    <w:uiPriority w:val="99"/>
    <w:unhideWhenUsed/>
    <w:rsid w:val="000B2A55"/>
    <w:rPr>
      <w:color w:val="064094"/>
      <w:u w:val="none"/>
    </w:rPr>
  </w:style>
  <w:style w:styleId="BalloonText" w:type="paragraph">
    <w:name w:val="Balloon Text"/>
    <w:basedOn w:val="Normal"/>
    <w:link w:val="BalloonTextChar"/>
    <w:uiPriority w:val="99"/>
    <w:semiHidden/>
    <w:unhideWhenUsed/>
    <w:rsid w:val="00A42404"/>
    <w:pPr>
      <w:spacing w:after="0"/>
    </w:pPr>
    <w:rPr>
      <w:rFonts w:ascii="Lucida Grande" w:cs="Lucida Grande" w:hAnsi="Lucida Grande"/>
      <w:sz w:val="18"/>
      <w:szCs w:val="18"/>
    </w:rPr>
  </w:style>
  <w:style w:customStyle="1" w:styleId="BalloonTextChar" w:type="character">
    <w:name w:val="Balloon Text Char"/>
    <w:basedOn w:val="DefaultParagraphFont"/>
    <w:link w:val="BalloonText"/>
    <w:uiPriority w:val="99"/>
    <w:semiHidden/>
    <w:rsid w:val="00406AA2"/>
    <w:rPr>
      <w:rFonts w:ascii="Lucida Grande" w:cs="Lucida Grande" w:eastAsia="Calibri" w:hAnsi="Lucida Grande"/>
      <w:color w:themeColor="text1" w:themeTint="F2" w:val="0D0D0D"/>
      <w:sz w:val="18"/>
      <w:szCs w:val="18"/>
      <w:lang w:val="cs"/>
    </w:rPr>
  </w:style>
  <w:style w:styleId="IntenseEmphasis" w:type="character">
    <w:name w:val="Intense Emphasis"/>
    <w:basedOn w:val="DefaultParagraphFont"/>
    <w:uiPriority w:val="21"/>
    <w:qFormat/>
    <w:rsid w:val="007D681A"/>
    <w:rPr>
      <w:b/>
      <w:bCs/>
      <w:i/>
      <w:iCs/>
      <w:color w:themeColor="accent1" w:val="4F81BD"/>
    </w:rPr>
  </w:style>
  <w:style w:styleId="LightShading-Accent2" w:type="table">
    <w:name w:val="Light Shading Accent 2"/>
    <w:basedOn w:val="TableNormal"/>
    <w:uiPriority w:val="60"/>
    <w:rsid w:val="00C776C3"/>
    <w:pPr>
      <w:spacing w:after="0" w:line="240" w:lineRule="auto"/>
    </w:pPr>
    <w:rPr>
      <w:color w:themeColor="accent2" w:themeShade="BF" w:val="943634"/>
    </w:rPr>
    <w:tblPr>
      <w:tblStyleRowBandSize w:val="1"/>
      <w:tblStyleColBandSize w:val="1"/>
      <w:tblBorders>
        <w:top w:color="C0504D" w:space="0" w:sz="8" w:themeColor="accent2" w:val="single"/>
        <w:bottom w:color="C0504D" w:space="0" w:sz="8" w:themeColor="accent2" w:val="single"/>
      </w:tblBorders>
    </w:tblPr>
    <w:tblStylePr w:type="firstRow">
      <w:pPr>
        <w:spacing w:after="0" w:before="0" w:line="240" w:lineRule="auto"/>
      </w:pPr>
      <w:rPr>
        <w:b/>
        <w:bCs/>
      </w:rPr>
      <w:tblPr/>
      <w:tcPr>
        <w:tcBorders>
          <w:top w:color="C0504D" w:space="0" w:sz="8" w:themeColor="accent2" w:val="single"/>
          <w:left w:val="nil"/>
          <w:bottom w:color="C0504D" w:space="0" w:sz="8" w:themeColor="accent2" w:val="single"/>
          <w:right w:val="nil"/>
          <w:insideH w:val="nil"/>
          <w:insideV w:val="nil"/>
        </w:tcBorders>
      </w:tcPr>
    </w:tblStylePr>
    <w:tblStylePr w:type="lastRow">
      <w:pPr>
        <w:spacing w:after="0" w:before="0" w:line="240" w:lineRule="auto"/>
      </w:pPr>
      <w:rPr>
        <w:b/>
        <w:bCs/>
      </w:rPr>
      <w:tblPr/>
      <w:tcPr>
        <w:tcBorders>
          <w:top w:color="C0504D" w:space="0" w:sz="8" w:themeColor="accent2" w:val="single"/>
          <w:left w:val="nil"/>
          <w:bottom w:color="C0504D" w:space="0" w:sz="8" w:themeColor="accent2"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EFD3D2" w:themeFill="accent2" w:themeFillTint="3F" w:val="clear"/>
      </w:tcPr>
    </w:tblStylePr>
    <w:tblStylePr w:type="band1Horz">
      <w:tblPr/>
      <w:tcPr>
        <w:tcBorders>
          <w:left w:val="nil"/>
          <w:right w:val="nil"/>
          <w:insideH w:val="nil"/>
          <w:insideV w:val="nil"/>
        </w:tcBorders>
        <w:shd w:color="auto" w:fill="EFD3D2" w:themeFill="accent2" w:themeFillTint="3F" w:val="clear"/>
      </w:tcPr>
    </w:tblStylePr>
  </w:style>
  <w:style w:styleId="LightShading-Accent1" w:type="table">
    <w:name w:val="Light Shading Accent 1"/>
    <w:basedOn w:val="TableNormal"/>
    <w:uiPriority w:val="60"/>
    <w:rsid w:val="00751167"/>
    <w:pPr>
      <w:spacing w:after="0" w:line="240" w:lineRule="auto"/>
    </w:pPr>
    <w:rPr>
      <w:color w:themeColor="accent1" w:themeShade="BF" w:val="365F91"/>
    </w:rPr>
    <w:tblPr>
      <w:tblStyleRowBandSize w:val="1"/>
      <w:tblStyleColBandSize w:val="1"/>
      <w:tblBorders>
        <w:top w:color="4F81BD" w:space="0" w:sz="8" w:themeColor="accent1" w:val="single"/>
        <w:bottom w:color="4F81BD" w:space="0" w:sz="8" w:themeColor="accent1" w:val="single"/>
      </w:tblBorders>
    </w:tblPr>
    <w:tblStylePr w:type="firstRow">
      <w:pPr>
        <w:spacing w:after="0" w:before="0" w:line="240" w:lineRule="auto"/>
      </w:pPr>
      <w:rPr>
        <w:b/>
        <w:bCs/>
      </w:rPr>
      <w:tblPr/>
      <w:tcPr>
        <w:tcBorders>
          <w:top w:color="4F81BD" w:space="0" w:sz="8" w:themeColor="accent1" w:val="single"/>
          <w:left w:val="nil"/>
          <w:bottom w:color="4F81BD" w:space="0" w:sz="8" w:themeColor="accent1" w:val="single"/>
          <w:right w:val="nil"/>
          <w:insideH w:val="nil"/>
          <w:insideV w:val="nil"/>
        </w:tcBorders>
      </w:tcPr>
    </w:tblStylePr>
    <w:tblStylePr w:type="lastRow">
      <w:pPr>
        <w:spacing w:after="0" w:before="0" w:line="240" w:lineRule="auto"/>
      </w:pPr>
      <w:rPr>
        <w:b/>
        <w:bCs/>
      </w:rPr>
      <w:tblPr/>
      <w:tcPr>
        <w:tcBorders>
          <w:top w:color="4F81BD" w:space="0" w:sz="8" w:themeColor="accent1" w:val="single"/>
          <w:left w:val="nil"/>
          <w:bottom w:color="4F81BD" w:space="0" w:sz="8" w:themeColor="accent1"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D3DFEE" w:themeFill="accent1" w:themeFillTint="3F" w:val="clear"/>
      </w:tcPr>
    </w:tblStylePr>
    <w:tblStylePr w:type="band1Horz">
      <w:tblPr/>
      <w:tcPr>
        <w:tcBorders>
          <w:left w:val="nil"/>
          <w:right w:val="nil"/>
          <w:insideH w:val="nil"/>
          <w:insideV w:val="nil"/>
        </w:tcBorders>
        <w:shd w:color="auto" w:fill="D3DFEE" w:themeFill="accent1" w:themeFillTint="3F" w:val="clear"/>
      </w:tcPr>
    </w:tblStylePr>
  </w:style>
  <w:style w:styleId="Caption" w:type="paragraph">
    <w:name w:val="caption"/>
    <w:basedOn w:val="Normal"/>
    <w:next w:val="Normal"/>
    <w:uiPriority w:val="6"/>
    <w:unhideWhenUsed/>
    <w:qFormat/>
    <w:rsid w:val="001423F0"/>
    <w:pPr>
      <w:spacing w:line="240" w:lineRule="auto"/>
      <w:jc w:val="left"/>
    </w:pPr>
    <w:rPr>
      <w:b/>
      <w:bCs/>
      <w:color w:themeColor="accent1" w:val="4F81BD"/>
      <w:sz w:val="18"/>
      <w:szCs w:val="18"/>
    </w:rPr>
  </w:style>
  <w:style w:styleId="Header" w:type="paragraph">
    <w:name w:val="header"/>
    <w:basedOn w:val="Normal"/>
    <w:link w:val="HeaderChar"/>
    <w:uiPriority w:val="99"/>
    <w:unhideWhenUsed/>
    <w:rsid w:val="00160620"/>
    <w:pPr>
      <w:tabs>
        <w:tab w:pos="4320" w:val="center"/>
        <w:tab w:pos="8640" w:val="right"/>
      </w:tabs>
      <w:spacing w:after="0" w:line="240" w:lineRule="auto"/>
    </w:pPr>
  </w:style>
  <w:style w:customStyle="1" w:styleId="HeaderChar" w:type="character">
    <w:name w:val="Header Char"/>
    <w:basedOn w:val="DefaultParagraphFont"/>
    <w:link w:val="Header"/>
    <w:uiPriority w:val="99"/>
    <w:rsid w:val="00132FC1"/>
    <w:rPr>
      <w:rFonts w:ascii="Calibri" w:cs="Times New Roman" w:eastAsia="Calibri" w:hAnsi="Calibri"/>
      <w:color w:themeColor="text1" w:themeTint="F2" w:val="0D0D0D"/>
      <w:lang w:val="cs"/>
    </w:rPr>
  </w:style>
  <w:style w:styleId="Footer" w:type="paragraph">
    <w:name w:val="footer"/>
    <w:basedOn w:val="Normal"/>
    <w:link w:val="FooterChar"/>
    <w:uiPriority w:val="99"/>
    <w:unhideWhenUsed/>
    <w:rsid w:val="00160620"/>
    <w:pPr>
      <w:tabs>
        <w:tab w:pos="4320" w:val="center"/>
        <w:tab w:pos="8640" w:val="right"/>
      </w:tabs>
      <w:spacing w:after="0" w:line="240" w:lineRule="auto"/>
    </w:pPr>
  </w:style>
  <w:style w:customStyle="1" w:styleId="FooterChar" w:type="character">
    <w:name w:val="Footer Char"/>
    <w:basedOn w:val="DefaultParagraphFont"/>
    <w:link w:val="Footer"/>
    <w:uiPriority w:val="99"/>
    <w:rsid w:val="00132FC1"/>
    <w:rPr>
      <w:rFonts w:ascii="Calibri" w:cs="Times New Roman" w:eastAsia="Calibri" w:hAnsi="Calibri"/>
      <w:color w:themeColor="text1" w:themeTint="F2" w:val="0D0D0D"/>
      <w:lang w:val="cs"/>
    </w:rPr>
  </w:style>
  <w:style w:styleId="FootnoteText" w:type="paragraph">
    <w:name w:val="footnote text"/>
    <w:aliases w:val="Char,Char Char Char"/>
    <w:basedOn w:val="Normal"/>
    <w:link w:val="FootnoteTextChar"/>
    <w:uiPriority w:val="99"/>
    <w:unhideWhenUsed/>
    <w:rsid w:val="00D07F8A"/>
    <w:pPr>
      <w:spacing w:after="0" w:line="240" w:lineRule="auto"/>
    </w:pPr>
    <w:rPr>
      <w:sz w:val="18"/>
      <w:szCs w:val="20"/>
    </w:rPr>
  </w:style>
  <w:style w:customStyle="1" w:styleId="FootnoteTextChar" w:type="character">
    <w:name w:val="Footnote Text Char"/>
    <w:aliases w:val="Char Char,Char Char Char Char"/>
    <w:basedOn w:val="DefaultParagraphFont"/>
    <w:link w:val="FootnoteText"/>
    <w:uiPriority w:val="99"/>
    <w:rsid w:val="004B20BC"/>
    <w:rPr>
      <w:rFonts w:ascii="Calibri" w:cs="Times New Roman" w:eastAsia="Calibri" w:hAnsi="Calibri"/>
      <w:color w:themeColor="text1" w:themeTint="F2" w:val="0D0D0D"/>
      <w:sz w:val="18"/>
      <w:szCs w:val="20"/>
      <w:lang w:val="cs"/>
    </w:rPr>
  </w:style>
  <w:style w:styleId="FootnoteReference" w:type="character">
    <w:name w:val="footnote reference"/>
    <w:basedOn w:val="DefaultParagraphFont"/>
    <w:uiPriority w:val="99"/>
    <w:unhideWhenUsed/>
    <w:rsid w:val="004B20BC"/>
    <w:rPr>
      <w:vertAlign w:val="superscript"/>
    </w:rPr>
  </w:style>
  <w:style w:styleId="TableGrid" w:type="table">
    <w:name w:val="Table Grid"/>
    <w:basedOn w:val="TableNormal"/>
    <w:uiPriority w:val="59"/>
    <w:rsid w:val="0084138A"/>
    <w:pPr>
      <w:spacing w:after="0" w:line="240" w:lineRule="auto"/>
    </w:pPr>
    <w:rPr>
      <w:lang w:val="c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styleId="MediumList1-Accent1" w:type="table">
    <w:name w:val="Medium List 1 Accent 1"/>
    <w:basedOn w:val="TableNormal"/>
    <w:uiPriority w:val="65"/>
    <w:rsid w:val="0084138A"/>
    <w:pPr>
      <w:spacing w:after="0" w:line="240" w:lineRule="auto"/>
    </w:pPr>
    <w:rPr>
      <w:color w:themeColor="text1" w:val="000000"/>
    </w:rPr>
    <w:tblPr>
      <w:tblStyleRowBandSize w:val="1"/>
      <w:tblStyleColBandSize w:val="1"/>
      <w:tblBorders>
        <w:top w:color="4F81BD" w:space="0" w:sz="8" w:themeColor="accent1" w:val="single"/>
        <w:bottom w:color="4F81BD" w:space="0" w:sz="8" w:themeColor="accent1" w:val="single"/>
      </w:tblBorders>
    </w:tblPr>
    <w:tblStylePr w:type="firstRow">
      <w:rPr>
        <w:rFonts w:asciiTheme="majorHAnsi" w:cstheme="majorBidi" w:eastAsiaTheme="majorEastAsia" w:hAnsiTheme="majorHAnsi"/>
      </w:rPr>
      <w:tblPr/>
      <w:tcPr>
        <w:tcBorders>
          <w:top w:val="nil"/>
          <w:bottom w:color="4F81BD" w:space="0" w:sz="8" w:themeColor="accent1" w:val="single"/>
        </w:tcBorders>
      </w:tcPr>
    </w:tblStylePr>
    <w:tblStylePr w:type="lastRow">
      <w:rPr>
        <w:b/>
        <w:bCs/>
        <w:color w:themeColor="text2" w:val="1F497D"/>
      </w:rPr>
      <w:tblPr/>
      <w:tcPr>
        <w:tcBorders>
          <w:top w:color="4F81BD" w:space="0" w:sz="8" w:themeColor="accent1" w:val="single"/>
          <w:bottom w:color="4F81BD" w:space="0" w:sz="8" w:themeColor="accent1" w:val="single"/>
        </w:tcBorders>
      </w:tcPr>
    </w:tblStylePr>
    <w:tblStylePr w:type="firstCol">
      <w:rPr>
        <w:b/>
        <w:bCs/>
      </w:rPr>
    </w:tblStylePr>
    <w:tblStylePr w:type="lastCol">
      <w:rPr>
        <w:b/>
        <w:bCs/>
      </w:rPr>
      <w:tblPr/>
      <w:tcPr>
        <w:tcBorders>
          <w:top w:color="4F81BD" w:space="0" w:sz="8" w:themeColor="accent1" w:val="single"/>
          <w:bottom w:color="4F81BD" w:space="0" w:sz="8" w:themeColor="accent1" w:val="single"/>
        </w:tcBorders>
      </w:tcPr>
    </w:tblStylePr>
    <w:tblStylePr w:type="band1Vert">
      <w:tblPr/>
      <w:tcPr>
        <w:shd w:color="auto" w:fill="D3DFEE" w:themeFill="accent1" w:themeFillTint="3F" w:val="clear"/>
      </w:tcPr>
    </w:tblStylePr>
    <w:tblStylePr w:type="band1Horz">
      <w:tblPr/>
      <w:tcPr>
        <w:shd w:color="auto" w:fill="D3DFEE" w:themeFill="accent1" w:themeFillTint="3F" w:val="clear"/>
      </w:tcPr>
    </w:tblStylePr>
  </w:style>
  <w:style w:customStyle="1" w:styleId="MarginNote" w:type="paragraph">
    <w:name w:val="Margin Note"/>
    <w:basedOn w:val="Normal"/>
    <w:autoRedefine/>
    <w:qFormat/>
    <w:rsid w:val="005E681C"/>
    <w:pPr>
      <w:keepNext/>
      <w:framePr w:h="719" w:hAnchor="page" w:hRule="exact" w:hSpace="284" w:vAnchor="text" w:vSpace="181" w:w="1973" w:wrap="around" w:y="208"/>
      <w:ind w:left="357"/>
      <w:jc w:val="right"/>
    </w:pPr>
    <w:rPr>
      <w:color w:val="17365D"/>
      <w:sz w:val="19"/>
    </w:rPr>
  </w:style>
  <w:style w:styleId="PageNumber" w:type="character">
    <w:name w:val="page number"/>
    <w:basedOn w:val="DefaultParagraphFont"/>
    <w:uiPriority w:val="99"/>
    <w:semiHidden/>
    <w:unhideWhenUsed/>
    <w:rsid w:val="00CD0A71"/>
  </w:style>
  <w:style w:styleId="TOC1" w:type="paragraph">
    <w:name w:val="toc 1"/>
    <w:basedOn w:val="Normal"/>
    <w:next w:val="Normal"/>
    <w:autoRedefine/>
    <w:uiPriority w:val="39"/>
    <w:unhideWhenUsed/>
    <w:rsid w:val="005119A7"/>
    <w:pPr>
      <w:spacing w:after="0" w:before="120"/>
      <w:jc w:val="left"/>
    </w:pPr>
    <w:rPr>
      <w:rFonts w:asciiTheme="minorHAnsi" w:hAnsiTheme="minorHAnsi"/>
      <w:b/>
      <w:sz w:val="24"/>
      <w:szCs w:val="24"/>
    </w:rPr>
  </w:style>
  <w:style w:styleId="TOC2" w:type="paragraph">
    <w:name w:val="toc 2"/>
    <w:basedOn w:val="Normal"/>
    <w:next w:val="Normal"/>
    <w:autoRedefine/>
    <w:uiPriority w:val="39"/>
    <w:unhideWhenUsed/>
    <w:rsid w:val="005119A7"/>
    <w:pPr>
      <w:spacing w:after="0"/>
      <w:ind w:left="220"/>
      <w:jc w:val="left"/>
    </w:pPr>
    <w:rPr>
      <w:rFonts w:asciiTheme="minorHAnsi" w:hAnsiTheme="minorHAnsi"/>
      <w:b/>
    </w:rPr>
  </w:style>
  <w:style w:styleId="TOC3" w:type="paragraph">
    <w:name w:val="toc 3"/>
    <w:basedOn w:val="Normal"/>
    <w:next w:val="Normal"/>
    <w:autoRedefine/>
    <w:uiPriority w:val="39"/>
    <w:unhideWhenUsed/>
    <w:rsid w:val="00CD0A71"/>
    <w:pPr>
      <w:spacing w:after="0"/>
      <w:ind w:left="440"/>
      <w:jc w:val="left"/>
    </w:pPr>
    <w:rPr>
      <w:rFonts w:asciiTheme="minorHAnsi" w:hAnsiTheme="minorHAnsi"/>
    </w:rPr>
  </w:style>
  <w:style w:styleId="TOC4" w:type="paragraph">
    <w:name w:val="toc 4"/>
    <w:basedOn w:val="Normal"/>
    <w:next w:val="Normal"/>
    <w:autoRedefine/>
    <w:uiPriority w:val="39"/>
    <w:unhideWhenUsed/>
    <w:rsid w:val="00CD0A71"/>
    <w:pPr>
      <w:spacing w:after="0"/>
      <w:ind w:left="660"/>
      <w:jc w:val="left"/>
    </w:pPr>
    <w:rPr>
      <w:rFonts w:asciiTheme="minorHAnsi" w:hAnsiTheme="minorHAnsi"/>
      <w:sz w:val="20"/>
      <w:szCs w:val="20"/>
    </w:rPr>
  </w:style>
  <w:style w:styleId="TOC5" w:type="paragraph">
    <w:name w:val="toc 5"/>
    <w:basedOn w:val="Normal"/>
    <w:next w:val="Normal"/>
    <w:autoRedefine/>
    <w:uiPriority w:val="39"/>
    <w:unhideWhenUsed/>
    <w:rsid w:val="00CD0A71"/>
    <w:pPr>
      <w:spacing w:after="0"/>
      <w:ind w:left="880"/>
      <w:jc w:val="left"/>
    </w:pPr>
    <w:rPr>
      <w:rFonts w:asciiTheme="minorHAnsi" w:hAnsiTheme="minorHAnsi"/>
      <w:sz w:val="20"/>
      <w:szCs w:val="20"/>
    </w:rPr>
  </w:style>
  <w:style w:styleId="TOC6" w:type="paragraph">
    <w:name w:val="toc 6"/>
    <w:basedOn w:val="Normal"/>
    <w:next w:val="Normal"/>
    <w:autoRedefine/>
    <w:uiPriority w:val="39"/>
    <w:unhideWhenUsed/>
    <w:rsid w:val="00CD0A71"/>
    <w:pPr>
      <w:spacing w:after="0"/>
      <w:ind w:left="1100"/>
      <w:jc w:val="left"/>
    </w:pPr>
    <w:rPr>
      <w:rFonts w:asciiTheme="minorHAnsi" w:hAnsiTheme="minorHAnsi"/>
      <w:sz w:val="20"/>
      <w:szCs w:val="20"/>
    </w:rPr>
  </w:style>
  <w:style w:styleId="TOC7" w:type="paragraph">
    <w:name w:val="toc 7"/>
    <w:basedOn w:val="Normal"/>
    <w:next w:val="Normal"/>
    <w:autoRedefine/>
    <w:uiPriority w:val="39"/>
    <w:unhideWhenUsed/>
    <w:rsid w:val="00CD0A71"/>
    <w:pPr>
      <w:spacing w:after="0"/>
      <w:ind w:left="1320"/>
      <w:jc w:val="left"/>
    </w:pPr>
    <w:rPr>
      <w:rFonts w:asciiTheme="minorHAnsi" w:hAnsiTheme="minorHAnsi"/>
      <w:sz w:val="20"/>
      <w:szCs w:val="20"/>
    </w:rPr>
  </w:style>
  <w:style w:styleId="TOC8" w:type="paragraph">
    <w:name w:val="toc 8"/>
    <w:basedOn w:val="Normal"/>
    <w:next w:val="Normal"/>
    <w:autoRedefine/>
    <w:uiPriority w:val="39"/>
    <w:unhideWhenUsed/>
    <w:rsid w:val="00CD0A71"/>
    <w:pPr>
      <w:spacing w:after="0"/>
      <w:ind w:left="1540"/>
      <w:jc w:val="left"/>
    </w:pPr>
    <w:rPr>
      <w:rFonts w:asciiTheme="minorHAnsi" w:hAnsiTheme="minorHAnsi"/>
      <w:sz w:val="20"/>
      <w:szCs w:val="20"/>
    </w:rPr>
  </w:style>
  <w:style w:styleId="TOC9" w:type="paragraph">
    <w:name w:val="toc 9"/>
    <w:basedOn w:val="Normal"/>
    <w:next w:val="Normal"/>
    <w:autoRedefine/>
    <w:uiPriority w:val="39"/>
    <w:unhideWhenUsed/>
    <w:rsid w:val="00CD0A71"/>
    <w:pPr>
      <w:spacing w:after="0"/>
      <w:ind w:left="1760"/>
      <w:jc w:val="left"/>
    </w:pPr>
    <w:rPr>
      <w:rFonts w:asciiTheme="minorHAnsi" w:hAnsiTheme="minorHAnsi"/>
      <w:sz w:val="20"/>
      <w:szCs w:val="20"/>
    </w:rPr>
  </w:style>
  <w:style w:customStyle="1" w:styleId="Box" w:type="paragraph">
    <w:name w:val="Box"/>
    <w:basedOn w:val="Normal"/>
    <w:link w:val="BoxChar"/>
    <w:rsid w:val="00CD0A71"/>
    <w:pPr>
      <w:pBdr>
        <w:top w:color="4F81BD" w:space="1" w:sz="12" w:themeColor="accent1" w:val="single"/>
        <w:left w:color="4F81BD" w:space="4" w:sz="12" w:themeColor="accent1" w:val="single"/>
        <w:bottom w:color="4F81BD" w:space="1" w:sz="12" w:themeColor="accent1" w:val="single"/>
        <w:right w:color="4F81BD" w:space="4" w:sz="12" w:themeColor="accent1" w:val="single"/>
      </w:pBdr>
      <w:shd w:color="auto" w:fill="DBE5F1" w:themeFill="accent1" w:themeFillTint="33" w:val="clear"/>
      <w:ind w:left="-1701" w:right="-93"/>
    </w:pPr>
  </w:style>
  <w:style w:customStyle="1" w:styleId="BoxChar" w:type="character">
    <w:name w:val="Box Char"/>
    <w:basedOn w:val="DefaultParagraphFont"/>
    <w:link w:val="Box"/>
    <w:rsid w:val="00CD0A71"/>
    <w:rPr>
      <w:rFonts w:ascii="Calibri" w:cs="Times New Roman" w:eastAsia="Calibri" w:hAnsi="Calibri"/>
      <w:color w:themeColor="text1" w:themeTint="F2" w:val="0D0D0D"/>
      <w:shd w:color="auto" w:fill="DBE5F1" w:themeFill="accent1" w:themeFillTint="33" w:val="clear"/>
      <w:lang w:val="cs"/>
    </w:rPr>
  </w:style>
  <w:style w:customStyle="1" w:styleId="Boxtitle" w:type="paragraph">
    <w:name w:val="Box title"/>
    <w:basedOn w:val="Box"/>
    <w:link w:val="BoxtitleChar"/>
    <w:rsid w:val="00CD0A71"/>
    <w:rPr>
      <w:b/>
      <w:color w:themeColor="text2" w:val="1F497D"/>
      <w:sz w:val="24"/>
    </w:rPr>
  </w:style>
  <w:style w:customStyle="1" w:styleId="BoxtitleChar" w:type="character">
    <w:name w:val="Box title Char"/>
    <w:basedOn w:val="BoxChar"/>
    <w:link w:val="Boxtitle"/>
    <w:rsid w:val="00CD0A71"/>
    <w:rPr>
      <w:rFonts w:ascii="Calibri" w:cs="Times New Roman" w:eastAsia="Calibri" w:hAnsi="Calibri"/>
      <w:b/>
      <w:color w:themeColor="text2" w:val="1F497D"/>
      <w:sz w:val="24"/>
      <w:shd w:color="auto" w:fill="DBE5F1" w:themeFill="accent1" w:themeFillTint="33" w:val="clear"/>
      <w:lang w:val="cs"/>
    </w:rPr>
  </w:style>
  <w:style w:customStyle="1" w:styleId="Figurenote" w:type="paragraph">
    <w:name w:val="Figure note"/>
    <w:basedOn w:val="Normal"/>
    <w:link w:val="FigurenoteChar"/>
    <w:qFormat/>
    <w:rsid w:val="002F1B37"/>
    <w:pPr>
      <w:spacing w:after="60" w:line="240" w:lineRule="auto"/>
      <w:ind w:left="578"/>
      <w:jc w:val="left"/>
    </w:pPr>
    <w:rPr>
      <w:i/>
      <w:color w:themeColor="text1" w:themeTint="80" w:val="7F7F7F"/>
      <w:sz w:val="16"/>
    </w:rPr>
  </w:style>
  <w:style w:customStyle="1" w:styleId="FigurenoteChar" w:type="character">
    <w:name w:val="Figure note Char"/>
    <w:basedOn w:val="DefaultParagraphFont"/>
    <w:link w:val="Figurenote"/>
    <w:rsid w:val="002F1B37"/>
    <w:rPr>
      <w:rFonts w:ascii="Calibri Light" w:cs="Times New Roman" w:eastAsia="Calibri" w:hAnsi="Calibri Light"/>
      <w:i/>
      <w:color w:themeColor="text1" w:themeTint="80" w:val="7F7F7F"/>
      <w:sz w:val="16"/>
      <w:lang w:val="cs"/>
    </w:rPr>
  </w:style>
  <w:style w:styleId="CommentReference" w:type="character">
    <w:name w:val="annotation reference"/>
    <w:basedOn w:val="DefaultParagraphFont"/>
    <w:uiPriority w:val="99"/>
    <w:semiHidden/>
    <w:unhideWhenUsed/>
    <w:rsid w:val="00CD0A71"/>
    <w:rPr>
      <w:sz w:val="16"/>
      <w:szCs w:val="16"/>
    </w:rPr>
  </w:style>
  <w:style w:styleId="CommentText" w:type="paragraph">
    <w:name w:val="annotation text"/>
    <w:basedOn w:val="Normal"/>
    <w:link w:val="CommentTextChar"/>
    <w:uiPriority w:val="99"/>
    <w:unhideWhenUsed/>
    <w:rsid w:val="00CD0A71"/>
    <w:pPr>
      <w:spacing w:line="240" w:lineRule="auto"/>
    </w:pPr>
    <w:rPr>
      <w:szCs w:val="20"/>
    </w:rPr>
  </w:style>
  <w:style w:customStyle="1" w:styleId="CommentTextChar" w:type="character">
    <w:name w:val="Comment Text Char"/>
    <w:basedOn w:val="DefaultParagraphFont"/>
    <w:link w:val="CommentText"/>
    <w:uiPriority w:val="99"/>
    <w:rsid w:val="00CD0A71"/>
    <w:rPr>
      <w:rFonts w:ascii="Calibri" w:cs="Times New Roman" w:eastAsia="Calibri" w:hAnsi="Calibri"/>
      <w:color w:themeColor="text1" w:themeTint="F2" w:val="0D0D0D"/>
      <w:szCs w:val="20"/>
      <w:lang w:val="cs"/>
    </w:rPr>
  </w:style>
  <w:style w:styleId="CommentSubject" w:type="paragraph">
    <w:name w:val="annotation subject"/>
    <w:basedOn w:val="CommentText"/>
    <w:next w:val="CommentText"/>
    <w:link w:val="CommentSubjectChar"/>
    <w:uiPriority w:val="99"/>
    <w:semiHidden/>
    <w:unhideWhenUsed/>
    <w:rsid w:val="00CD0A71"/>
    <w:rPr>
      <w:b/>
      <w:bCs/>
    </w:rPr>
  </w:style>
  <w:style w:customStyle="1" w:styleId="CommentSubjectChar" w:type="character">
    <w:name w:val="Comment Subject Char"/>
    <w:basedOn w:val="CommentTextChar"/>
    <w:link w:val="CommentSubject"/>
    <w:uiPriority w:val="99"/>
    <w:semiHidden/>
    <w:rsid w:val="00CD0A71"/>
    <w:rPr>
      <w:rFonts w:ascii="Calibri" w:cs="Times New Roman" w:eastAsia="Calibri" w:hAnsi="Calibri"/>
      <w:b/>
      <w:bCs/>
      <w:color w:themeColor="text1" w:themeTint="F2" w:val="0D0D0D"/>
      <w:szCs w:val="20"/>
      <w:lang w:val="cs"/>
    </w:rPr>
  </w:style>
  <w:style w:styleId="TableofFigures" w:type="paragraph">
    <w:name w:val="table of figures"/>
    <w:basedOn w:val="Normal"/>
    <w:next w:val="Normal"/>
    <w:uiPriority w:val="99"/>
    <w:unhideWhenUsed/>
    <w:rsid w:val="00CD0A71"/>
    <w:pPr>
      <w:spacing w:after="0"/>
    </w:pPr>
  </w:style>
  <w:style w:styleId="Strong" w:type="character">
    <w:name w:val="Strong"/>
    <w:uiPriority w:val="22"/>
    <w:qFormat/>
    <w:rsid w:val="00CD0A71"/>
    <w:rPr>
      <w:b/>
    </w:rPr>
  </w:style>
  <w:style w:customStyle="1" w:styleId="MarginTable" w:type="paragraph">
    <w:name w:val="Margin Table"/>
    <w:basedOn w:val="MarginNote"/>
    <w:qFormat/>
    <w:rsid w:val="000C737A"/>
    <w:pPr>
      <w:framePr w:hAnchor="text" w:hRule="auto" w:hSpace="0" w:vAnchor="margin" w:vSpace="0" w:w="0" w:wrap="auto" w:yAlign="inline"/>
      <w:spacing w:after="0"/>
      <w:ind w:left="-1701"/>
      <w:jc w:val="left"/>
    </w:pPr>
    <w:rPr>
      <w:rFonts w:ascii="Calibri" w:hAnsi="Calibri"/>
      <w:b/>
      <w:sz w:val="20"/>
    </w:rPr>
  </w:style>
  <w:style w:styleId="FollowedHyperlink" w:type="character">
    <w:name w:val="FollowedHyperlink"/>
    <w:basedOn w:val="DefaultParagraphFont"/>
    <w:uiPriority w:val="99"/>
    <w:semiHidden/>
    <w:unhideWhenUsed/>
    <w:rsid w:val="00CD0A71"/>
    <w:rPr>
      <w:color w:themeColor="followedHyperlink" w:val="800080"/>
      <w:u w:val="single"/>
    </w:rPr>
  </w:style>
  <w:style w:styleId="DocumentMap" w:type="paragraph">
    <w:name w:val="Document Map"/>
    <w:basedOn w:val="Normal"/>
    <w:link w:val="DocumentMapChar"/>
    <w:uiPriority w:val="99"/>
    <w:semiHidden/>
    <w:unhideWhenUsed/>
    <w:rsid w:val="00CD0A71"/>
    <w:pPr>
      <w:spacing w:after="0" w:line="240" w:lineRule="auto"/>
    </w:pPr>
    <w:rPr>
      <w:rFonts w:ascii="Tahoma" w:cs="Tahoma" w:hAnsi="Tahoma"/>
      <w:sz w:val="16"/>
      <w:szCs w:val="16"/>
    </w:rPr>
  </w:style>
  <w:style w:customStyle="1" w:styleId="DocumentMapChar" w:type="character">
    <w:name w:val="Document Map Char"/>
    <w:basedOn w:val="DefaultParagraphFont"/>
    <w:link w:val="DocumentMap"/>
    <w:uiPriority w:val="99"/>
    <w:semiHidden/>
    <w:rsid w:val="00CD0A71"/>
    <w:rPr>
      <w:rFonts w:ascii="Tahoma" w:cs="Tahoma" w:eastAsia="Calibri" w:hAnsi="Tahoma"/>
      <w:color w:themeColor="text1" w:themeTint="F2" w:val="0D0D0D"/>
      <w:sz w:val="16"/>
      <w:szCs w:val="16"/>
      <w:lang w:val="cs"/>
    </w:rPr>
  </w:style>
  <w:style w:customStyle="1" w:styleId="LightShading-Accent11" w:type="table">
    <w:name w:val="Light Shading - Accent 11"/>
    <w:basedOn w:val="TableNormal"/>
    <w:uiPriority w:val="60"/>
    <w:rsid w:val="00CD0A71"/>
    <w:pPr>
      <w:spacing w:after="0" w:line="240" w:lineRule="auto"/>
    </w:pPr>
    <w:rPr>
      <w:rFonts w:ascii="Times New Roman" w:cs="Times New Roman" w:eastAsia="Helvetica" w:hAnsi="Times New Roman"/>
      <w:color w:themeColor="accent1" w:themeShade="BF" w:val="365F91"/>
      <w:sz w:val="20"/>
      <w:szCs w:val="20"/>
      <w:lang w:val="cs"/>
    </w:rPr>
    <w:tblPr>
      <w:tblStyleRowBandSize w:val="1"/>
      <w:tblStyleColBandSize w:val="1"/>
      <w:tblBorders>
        <w:top w:color="4F81BD" w:space="0" w:sz="8" w:themeColor="accent1" w:val="single"/>
        <w:bottom w:color="4F81BD" w:space="0" w:sz="8" w:themeColor="accent1" w:val="single"/>
      </w:tblBorders>
    </w:tblPr>
    <w:tblStylePr w:type="firstRow">
      <w:pPr>
        <w:spacing w:after="0" w:before="0" w:line="240" w:lineRule="auto"/>
      </w:pPr>
      <w:rPr>
        <w:b/>
        <w:bCs/>
      </w:rPr>
      <w:tblPr/>
      <w:tcPr>
        <w:tcBorders>
          <w:top w:color="4F81BD" w:space="0" w:sz="8" w:themeColor="accent1" w:val="single"/>
          <w:left w:val="nil"/>
          <w:bottom w:color="4F81BD" w:space="0" w:sz="8" w:themeColor="accent1" w:val="single"/>
          <w:right w:val="nil"/>
          <w:insideH w:val="nil"/>
          <w:insideV w:val="nil"/>
        </w:tcBorders>
      </w:tcPr>
    </w:tblStylePr>
    <w:tblStylePr w:type="lastRow">
      <w:pPr>
        <w:spacing w:after="0" w:before="0" w:line="240" w:lineRule="auto"/>
      </w:pPr>
      <w:rPr>
        <w:b/>
        <w:bCs/>
      </w:rPr>
      <w:tblPr/>
      <w:tcPr>
        <w:tcBorders>
          <w:top w:color="4F81BD" w:space="0" w:sz="8" w:themeColor="accent1" w:val="single"/>
          <w:left w:val="nil"/>
          <w:bottom w:color="4F81BD" w:space="0" w:sz="8" w:themeColor="accent1"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D3DFEE" w:themeFill="accent1" w:themeFillTint="3F" w:val="clear"/>
      </w:tcPr>
    </w:tblStylePr>
    <w:tblStylePr w:type="band1Horz">
      <w:tblPr/>
      <w:tcPr>
        <w:tcBorders>
          <w:left w:val="nil"/>
          <w:right w:val="nil"/>
          <w:insideH w:val="nil"/>
          <w:insideV w:val="nil"/>
        </w:tcBorders>
        <w:shd w:color="auto" w:fill="D3DFEE" w:themeFill="accent1" w:themeFillTint="3F" w:val="clear"/>
      </w:tcPr>
    </w:tblStylePr>
  </w:style>
  <w:style w:customStyle="1" w:styleId="Highlight" w:type="paragraph">
    <w:name w:val="Highlight"/>
    <w:basedOn w:val="Normal"/>
    <w:link w:val="HighlightChar"/>
    <w:qFormat/>
    <w:rsid w:val="00CD0A71"/>
    <w:pPr>
      <w:ind w:left="567" w:right="758"/>
      <w:jc w:val="center"/>
    </w:pPr>
    <w:rPr>
      <w:color w:themeColor="text2" w:val="1F497D"/>
      <w:sz w:val="28"/>
      <w:szCs w:val="28"/>
    </w:rPr>
  </w:style>
  <w:style w:customStyle="1" w:styleId="HighlightChar" w:type="character">
    <w:name w:val="Highlight Char"/>
    <w:basedOn w:val="DefaultParagraphFont"/>
    <w:link w:val="Highlight"/>
    <w:rsid w:val="00CD0A71"/>
    <w:rPr>
      <w:rFonts w:ascii="Calibri" w:cs="Times New Roman" w:eastAsia="Calibri" w:hAnsi="Calibri"/>
      <w:color w:themeColor="text2" w:val="1F497D"/>
      <w:sz w:val="28"/>
      <w:szCs w:val="28"/>
      <w:lang w:val="cs"/>
    </w:rPr>
  </w:style>
  <w:style w:styleId="Emphasis" w:type="character">
    <w:name w:val="Emphasis"/>
    <w:basedOn w:val="DefaultParagraphFont"/>
    <w:uiPriority w:val="20"/>
    <w:qFormat/>
    <w:rsid w:val="00CD0A71"/>
    <w:rPr>
      <w:i/>
      <w:iCs/>
    </w:rPr>
  </w:style>
  <w:style w:styleId="NormalWeb" w:type="paragraph">
    <w:name w:val="Normal (Web)"/>
    <w:basedOn w:val="Normal"/>
    <w:uiPriority w:val="99"/>
    <w:unhideWhenUsed/>
    <w:rsid w:val="00000D4D"/>
    <w:pPr>
      <w:spacing w:after="100" w:afterAutospacing="1" w:before="100" w:beforeAutospacing="1" w:line="240" w:lineRule="auto"/>
      <w:jc w:val="left"/>
    </w:pPr>
    <w:rPr>
      <w:rFonts w:ascii="Times New Roman" w:eastAsiaTheme="minorEastAsia" w:hAnsi="Times New Roman"/>
      <w:color w:val="auto"/>
      <w:sz w:val="24"/>
      <w:szCs w:val="24"/>
      <w:lang w:val="cs"/>
    </w:rPr>
  </w:style>
  <w:style w:customStyle="1" w:styleId="apple-converted-space" w:type="character">
    <w:name w:val="apple-converted-space"/>
    <w:basedOn w:val="DefaultParagraphFont"/>
    <w:rsid w:val="00CD0A71"/>
  </w:style>
  <w:style w:styleId="Title" w:type="paragraph">
    <w:name w:val="Title"/>
    <w:basedOn w:val="Heading1"/>
    <w:next w:val="Normal"/>
    <w:link w:val="TitleChar"/>
    <w:uiPriority w:val="10"/>
    <w:qFormat/>
    <w:rsid w:val="00EE4CA0"/>
    <w:pPr>
      <w:spacing w:after="0"/>
      <w:jc w:val="right"/>
      <w:outlineLvl w:val="9"/>
    </w:pPr>
    <w:rPr>
      <w:color w:val="393939"/>
      <w:sz w:val="36"/>
    </w:rPr>
  </w:style>
  <w:style w:customStyle="1" w:styleId="TitleChar" w:type="character">
    <w:name w:val="Title Char"/>
    <w:basedOn w:val="DefaultParagraphFont"/>
    <w:link w:val="Title"/>
    <w:uiPriority w:val="10"/>
    <w:rsid w:val="00EE4CA0"/>
    <w:rPr>
      <w:rFonts w:ascii="Calibri" w:cstheme="majorBidi" w:eastAsiaTheme="majorEastAsia" w:hAnsi="Calibri"/>
      <w:bCs/>
      <w:color w:val="393939"/>
      <w:kern w:val="32"/>
      <w:sz w:val="36"/>
      <w:szCs w:val="32"/>
      <w:lang w:val="cs"/>
    </w:rPr>
  </w:style>
  <w:style w:styleId="Subtitle" w:type="paragraph">
    <w:name w:val="Subtitle"/>
    <w:basedOn w:val="Title"/>
    <w:next w:val="Normal"/>
    <w:link w:val="SubtitleChar"/>
    <w:uiPriority w:val="11"/>
    <w:qFormat/>
    <w:rsid w:val="006A67CF"/>
    <w:pPr>
      <w:spacing w:after="240" w:before="0"/>
    </w:pPr>
    <w:rPr>
      <w:color w:val="064094"/>
      <w:sz w:val="24"/>
    </w:rPr>
  </w:style>
  <w:style w:customStyle="1" w:styleId="SubtitleChar" w:type="character">
    <w:name w:val="Subtitle Char"/>
    <w:basedOn w:val="DefaultParagraphFont"/>
    <w:link w:val="Subtitle"/>
    <w:uiPriority w:val="11"/>
    <w:rsid w:val="006A67CF"/>
    <w:rPr>
      <w:rFonts w:ascii="Calibri" w:cstheme="majorBidi" w:eastAsiaTheme="majorEastAsia" w:hAnsi="Calibri"/>
      <w:bCs/>
      <w:color w:val="064094"/>
      <w:kern w:val="32"/>
      <w:sz w:val="24"/>
      <w:szCs w:val="32"/>
      <w:lang w:val="cs"/>
    </w:rPr>
  </w:style>
  <w:style w:styleId="EndnoteText" w:type="paragraph">
    <w:name w:val="endnote text"/>
    <w:basedOn w:val="Normal"/>
    <w:link w:val="EndnoteTextChar"/>
    <w:uiPriority w:val="99"/>
    <w:semiHidden/>
    <w:unhideWhenUsed/>
    <w:rsid w:val="00CD0A71"/>
    <w:pPr>
      <w:spacing w:after="0" w:line="240" w:lineRule="auto"/>
    </w:pPr>
    <w:rPr>
      <w:szCs w:val="20"/>
    </w:rPr>
  </w:style>
  <w:style w:customStyle="1" w:styleId="EndnoteTextChar" w:type="character">
    <w:name w:val="Endnote Text Char"/>
    <w:basedOn w:val="DefaultParagraphFont"/>
    <w:link w:val="EndnoteText"/>
    <w:uiPriority w:val="99"/>
    <w:semiHidden/>
    <w:rsid w:val="00CD0A71"/>
    <w:rPr>
      <w:rFonts w:ascii="Calibri" w:cs="Times New Roman" w:eastAsia="Calibri" w:hAnsi="Calibri"/>
      <w:color w:themeColor="text1" w:themeTint="F2" w:val="0D0D0D"/>
      <w:szCs w:val="20"/>
      <w:lang w:val="cs"/>
    </w:rPr>
  </w:style>
  <w:style w:styleId="EndnoteReference" w:type="character">
    <w:name w:val="endnote reference"/>
    <w:basedOn w:val="DefaultParagraphFont"/>
    <w:uiPriority w:val="99"/>
    <w:semiHidden/>
    <w:unhideWhenUsed/>
    <w:rsid w:val="00CD0A71"/>
    <w:rPr>
      <w:vertAlign w:val="superscript"/>
    </w:rPr>
  </w:style>
  <w:style w:customStyle="1" w:styleId="rtejustify" w:type="paragraph">
    <w:name w:val="rtejustify"/>
    <w:basedOn w:val="Normal"/>
    <w:rsid w:val="002D78FC"/>
    <w:pPr>
      <w:spacing w:after="100" w:afterAutospacing="1" w:before="100" w:beforeAutospacing="1" w:line="240" w:lineRule="auto"/>
      <w:jc w:val="left"/>
    </w:pPr>
    <w:rPr>
      <w:rFonts w:ascii="Times New Roman" w:eastAsia="Times New Roman" w:hAnsi="Times New Roman"/>
      <w:color w:val="auto"/>
      <w:sz w:val="24"/>
      <w:szCs w:val="24"/>
      <w:lang w:eastAsia="cs-CZ"/>
    </w:rPr>
  </w:style>
  <w:style w:styleId="Quote" w:type="paragraph">
    <w:name w:val="Quote"/>
    <w:basedOn w:val="Normal"/>
    <w:next w:val="Normal"/>
    <w:link w:val="QuoteChar"/>
    <w:uiPriority w:val="29"/>
    <w:qFormat/>
    <w:rsid w:val="00AE724E"/>
    <w:pPr>
      <w:spacing w:after="240" w:before="240"/>
      <w:jc w:val="left"/>
    </w:pPr>
    <w:rPr>
      <w:iCs/>
      <w:color w:themeColor="text2" w:val="1F497D"/>
      <w:sz w:val="26"/>
    </w:rPr>
  </w:style>
  <w:style w:customStyle="1" w:styleId="QuoteChar" w:type="character">
    <w:name w:val="Quote Char"/>
    <w:basedOn w:val="DefaultParagraphFont"/>
    <w:link w:val="Quote"/>
    <w:uiPriority w:val="29"/>
    <w:rsid w:val="00AE724E"/>
    <w:rPr>
      <w:rFonts w:ascii="Calibri Light" w:cs="Times New Roman" w:eastAsia="Calibri" w:hAnsi="Calibri Light"/>
      <w:iCs/>
      <w:color w:themeColor="text2" w:val="1F497D"/>
      <w:sz w:val="26"/>
      <w:lang w:val="cs"/>
    </w:rPr>
  </w:style>
  <w:style w:styleId="Revision" w:type="paragraph">
    <w:name w:val="Revision"/>
    <w:hidden/>
    <w:uiPriority w:val="99"/>
    <w:semiHidden/>
    <w:rsid w:val="00506F1E"/>
    <w:pPr>
      <w:spacing w:after="0" w:line="240" w:lineRule="auto"/>
    </w:pPr>
    <w:rPr>
      <w:rFonts w:ascii="Calibri" w:cs="Times New Roman" w:eastAsia="Calibri" w:hAnsi="Calibri"/>
      <w:color w:themeColor="text1" w:themeTint="F2" w:val="0D0D0D"/>
      <w:lang w:val="cs"/>
    </w:rPr>
  </w:style>
  <w:style w:styleId="PlaceholderText" w:type="character">
    <w:name w:val="Placeholder Text"/>
    <w:basedOn w:val="DefaultParagraphFont"/>
    <w:uiPriority w:val="99"/>
    <w:semiHidden/>
    <w:rsid w:val="006B4E56"/>
    <w:rPr>
      <w:color w:val="808080"/>
    </w:rPr>
  </w:style>
  <w:style w:styleId="TOCHeading" w:type="paragraph">
    <w:name w:val="TOC Heading"/>
    <w:basedOn w:val="Heading1"/>
    <w:next w:val="Normal"/>
    <w:uiPriority w:val="39"/>
    <w:unhideWhenUsed/>
    <w:qFormat/>
    <w:rsid w:val="006906FA"/>
    <w:pPr>
      <w:keepLines/>
      <w:suppressAutoHyphens w:val="0"/>
      <w:spacing w:after="0" w:before="480" w:line="276" w:lineRule="auto"/>
      <w:outlineLvl w:val="9"/>
    </w:pPr>
    <w:rPr>
      <w:rFonts w:asciiTheme="majorHAnsi" w:hAnsiTheme="majorHAnsi"/>
      <w:color w:themeColor="accent1" w:themeShade="BF" w:val="365F91"/>
      <w:kern w:val="0"/>
      <w:sz w:val="28"/>
      <w:szCs w:val="28"/>
      <w:lang w:eastAsia="cs-CZ"/>
    </w:rPr>
  </w:style>
  <w:style w:customStyle="1" w:styleId="Intro" w:type="paragraph">
    <w:name w:val="Intro"/>
    <w:basedOn w:val="Normal"/>
    <w:qFormat/>
    <w:rsid w:val="001A446E"/>
    <w:rPr>
      <w:color w:themeColor="text1" w:themeTint="D9" w:val="262626"/>
    </w:rPr>
  </w:style>
  <w:style w:customStyle="1" w:styleId="Boldcalibri" w:type="paragraph">
    <w:name w:val="Bold calibri"/>
    <w:basedOn w:val="Intro"/>
    <w:next w:val="Intro"/>
    <w:qFormat/>
    <w:rsid w:val="004833F9"/>
    <w:rPr>
      <w:rFonts w:asciiTheme="minorHAnsi" w:hAnsiTheme="minorHAnsi"/>
      <w:b/>
    </w:rPr>
  </w:style>
  <w:style w:customStyle="1" w:styleId="MarginTable2" w:type="paragraph">
    <w:name w:val="Margin Table 2"/>
    <w:basedOn w:val="MarginNote"/>
    <w:qFormat/>
    <w:rsid w:val="00897AFC"/>
    <w:pPr>
      <w:framePr w:hRule="auto" w:hSpace="181" w:wrap="around" w:y="211"/>
    </w:pPr>
    <w:rPr>
      <w:rFonts w:ascii="Calibri" w:hAnsi="Calibri"/>
      <w:sz w:val="18"/>
    </w:rPr>
  </w:style>
  <w:style w:customStyle="1" w:styleId="graf" w:type="paragraph">
    <w:name w:val="graf"/>
    <w:basedOn w:val="Normal"/>
    <w:qFormat/>
    <w:rsid w:val="002F1B37"/>
    <w:pPr>
      <w:spacing w:after="0" w:line="240" w:lineRule="auto"/>
      <w:jc w:val="center"/>
    </w:pPr>
    <w:rPr>
      <w:rFonts w:cstheme="minorBidi" w:eastAsiaTheme="minorHAnsi"/>
      <w:noProof/>
      <w:color w:themeColor="text1" w:themeTint="D9" w:val="262626"/>
      <w:lang w:eastAsia="cs-CZ"/>
    </w:rPr>
  </w:style>
  <w:style w:customStyle="1" w:styleId="GRAFNADPIS" w:type="paragraph">
    <w:name w:val="GRAF NADPIS"/>
    <w:basedOn w:val="Caption"/>
    <w:qFormat/>
    <w:rsid w:val="00A35A8B"/>
    <w:pPr>
      <w:keepNext/>
      <w:spacing w:before="120"/>
    </w:pPr>
    <w:rPr>
      <w:color w:themeColor="text2" w:val="1F497D"/>
      <w:sz w:val="24"/>
      <w:szCs w:val="16"/>
      <w:lang w:eastAsia="cs-CZ"/>
    </w:rPr>
  </w:style>
  <w:style w:customStyle="1" w:styleId="zdrojgraf" w:type="paragraph">
    <w:name w:val="zdroj graf"/>
    <w:basedOn w:val="Normal"/>
    <w:qFormat/>
    <w:rsid w:val="00C8516D"/>
    <w:pPr>
      <w:spacing w:line="240" w:lineRule="auto"/>
      <w:ind w:left="1134"/>
      <w:jc w:val="left"/>
    </w:pPr>
    <w:rPr>
      <w:rFonts w:cstheme="minorBidi" w:eastAsiaTheme="minorHAnsi"/>
      <w:color w:themeColor="text1" w:themeTint="D9" w:val="262626"/>
      <w:sz w:val="16"/>
      <w:szCs w:val="18"/>
    </w:rPr>
  </w:style>
  <w:style w:styleId="SubtleEmphasis" w:type="character">
    <w:name w:val="Subtle Emphasis"/>
    <w:basedOn w:val="DefaultParagraphFont"/>
    <w:uiPriority w:val="19"/>
    <w:qFormat/>
    <w:rsid w:val="00BB2DE4"/>
    <w:rPr>
      <w:i/>
      <w:iCs/>
      <w:color w:themeColor="text1" w:themeTint="7F" w:val="808080"/>
    </w:rPr>
  </w:style>
  <w:style w:customStyle="1" w:styleId="paragraph" w:type="paragraph">
    <w:name w:val="paragraph"/>
    <w:basedOn w:val="Normal"/>
    <w:rsid w:val="00FA3453"/>
    <w:pPr>
      <w:spacing w:after="100" w:afterAutospacing="1" w:before="100" w:beforeAutospacing="1" w:line="240" w:lineRule="auto"/>
      <w:jc w:val="left"/>
    </w:pPr>
    <w:rPr>
      <w:rFonts w:ascii="Times New Roman" w:eastAsia="Times New Roman" w:hAnsi="Times New Roman"/>
      <w:color w:val="auto"/>
      <w:sz w:val="24"/>
      <w:szCs w:val="24"/>
      <w:lang w:eastAsia="cs-CZ"/>
    </w:rPr>
  </w:style>
  <w:style w:customStyle="1" w:styleId="normaltextrun" w:type="character">
    <w:name w:val="normaltextrun"/>
    <w:basedOn w:val="DefaultParagraphFont"/>
    <w:rsid w:val="00FA3453"/>
  </w:style>
  <w:style w:customStyle="1" w:styleId="eop" w:type="character">
    <w:name w:val="eop"/>
    <w:basedOn w:val="DefaultParagraphFont"/>
    <w:rsid w:val="00FA3453"/>
  </w:style>
  <w:style w:customStyle="1" w:styleId="spellingerror" w:type="character">
    <w:name w:val="spellingerror"/>
    <w:basedOn w:val="DefaultParagraphFont"/>
    <w:rsid w:val="00FA3453"/>
  </w:style>
  <w:style w:customStyle="1" w:styleId="Mkatabulky1" w:type="table">
    <w:name w:val="Mřížka tabulky1"/>
    <w:basedOn w:val="TableNormal"/>
    <w:next w:val="TableGrid"/>
    <w:uiPriority w:val="59"/>
    <w:rsid w:val="008D0115"/>
    <w:pPr>
      <w:spacing w:after="0" w:line="240" w:lineRule="auto"/>
    </w:pPr>
    <w:rPr>
      <w:lang w:val="c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customStyle="1" w:styleId="tabulka" w:type="paragraph">
    <w:name w:val="tabulka"/>
    <w:basedOn w:val="NoSpacing"/>
    <w:qFormat/>
    <w:rsid w:val="00F61A26"/>
    <w:rPr>
      <w:rFonts w:ascii="Calibri Light" w:hAnsi="Calibri Light"/>
      <w:lang w:val="cs"/>
    </w:rPr>
  </w:style>
  <w:style w:styleId="HTMLCode" w:type="character">
    <w:name w:val="HTML Code"/>
    <w:basedOn w:val="DefaultParagraphFont"/>
    <w:uiPriority w:val="99"/>
    <w:semiHidden/>
    <w:unhideWhenUsed/>
    <w:rsid w:val="00726479"/>
    <w:rPr>
      <w:rFonts w:ascii="Courier New" w:cs="Courier New" w:eastAsia="Times New Roman" w:hAnsi="Courier New"/>
      <w:sz w:val="20"/>
      <w:szCs w:val="20"/>
    </w:rPr>
  </w:style>
  <w:style w:styleId="HTMLCite" w:type="character">
    <w:name w:val="HTML Cite"/>
    <w:basedOn w:val="DefaultParagraphFont"/>
    <w:uiPriority w:val="99"/>
    <w:semiHidden/>
    <w:unhideWhenUsed/>
    <w:rsid w:val="005B128E"/>
    <w:rPr>
      <w:i/>
      <w:iCs/>
    </w:rPr>
  </w:style>
  <w:style w:customStyle="1" w:styleId="Default" w:type="paragraph">
    <w:name w:val="Default"/>
    <w:rsid w:val="003D10C2"/>
    <w:pPr>
      <w:autoSpaceDE w:val="0"/>
      <w:autoSpaceDN w:val="0"/>
      <w:adjustRightInd w:val="0"/>
      <w:spacing w:after="0" w:line="240" w:lineRule="auto"/>
    </w:pPr>
    <w:rPr>
      <w:rFonts w:ascii="Cambria" w:cs="Cambria" w:hAnsi="Cambria"/>
      <w:color w:val="000000"/>
      <w:sz w:val="24"/>
      <w:szCs w:val="24"/>
      <w:lang w:val="cs"/>
    </w:rPr>
  </w:style>
  <w:style w:customStyle="1" w:styleId="ImageCaption" w:type="paragraph">
    <w:name w:val="Image Caption"/>
    <w:basedOn w:val="Caption"/>
    <w:qFormat/>
    <w:rsid w:val="005F798A"/>
    <w:pPr>
      <w:spacing w:after="200"/>
      <w:jc w:val="center"/>
    </w:pPr>
    <w:rPr>
      <w:b w:val="0"/>
      <w:bCs w:val="0"/>
      <w:vanish/>
    </w:rPr>
  </w:style>
  <w:style w:customStyle="1" w:styleId="Napis1-slovan" w:type="paragraph">
    <w:name w:val="Napis 1 - číslovaný"/>
    <w:basedOn w:val="Heading1"/>
    <w:rsid w:val="005A6449"/>
    <w:pPr>
      <w:numPr>
        <w:numId w:val="9"/>
      </w:numPr>
      <w:ind w:left="360"/>
    </w:pPr>
  </w:style>
  <w:style w:customStyle="1" w:styleId="Nadpis2-11" w:type="paragraph">
    <w:name w:val="Nadpis 2 - 1.1"/>
    <w:basedOn w:val="Heading2"/>
    <w:qFormat/>
    <w:rsid w:val="005A6449"/>
    <w:pPr>
      <w:numPr>
        <w:numId w:val="10"/>
      </w:numPr>
    </w:pPr>
  </w:style>
  <w:style w:customStyle="1" w:styleId="Nadpis2-21" w:type="paragraph">
    <w:name w:val="Nadpis 2 - 2.1"/>
    <w:basedOn w:val="Nadpis2-11"/>
    <w:qFormat/>
    <w:rsid w:val="008A2ECB"/>
    <w:pPr>
      <w:numPr>
        <w:numId w:val="11"/>
      </w:numPr>
    </w:pPr>
  </w:style>
  <w:style w:customStyle="1" w:styleId="Nadpis1slovan" w:type="paragraph">
    <w:name w:val="Nadpis 1 (číslovaný)"/>
    <w:basedOn w:val="Napis1-slovan"/>
    <w:qFormat/>
    <w:rsid w:val="00BE5D77"/>
    <w:pPr>
      <w:numPr>
        <w:numId w:val="14"/>
      </w:numPr>
      <w:ind w:left="360"/>
    </w:pPr>
  </w:style>
  <w:style w:customStyle="1" w:styleId="NapisGRAF" w:type="paragraph">
    <w:name w:val="Napis GRAF"/>
    <w:basedOn w:val="Caption"/>
    <w:qFormat/>
    <w:rsid w:val="005353A7"/>
    <w:pPr>
      <w:keepNext/>
      <w:spacing w:after="60"/>
    </w:pPr>
    <w:rPr>
      <w:b w:val="0"/>
      <w:bCs w:val="0"/>
    </w:rPr>
  </w:style>
  <w:style w:customStyle="1" w:styleId="Nevyeenzmnka1" w:type="character">
    <w:name w:val="Nevyřešená zmínka1"/>
    <w:basedOn w:val="DefaultParagraphFont"/>
    <w:uiPriority w:val="99"/>
    <w:semiHidden/>
    <w:unhideWhenUsed/>
    <w:rsid w:val="009C0781"/>
    <w:rPr>
      <w:color w:val="605E5C"/>
      <w:shd w:color="auto" w:fill="E1DFDD" w:val="clear"/>
    </w:rPr>
  </w:style>
  <w:style w:styleId="PlainText" w:type="paragraph">
    <w:name w:val="Plain Text"/>
    <w:basedOn w:val="Normal"/>
    <w:link w:val="PlainTextChar"/>
    <w:uiPriority w:val="99"/>
    <w:unhideWhenUsed/>
    <w:rsid w:val="009C0781"/>
    <w:pPr>
      <w:spacing w:after="0" w:line="240" w:lineRule="auto"/>
      <w:jc w:val="left"/>
    </w:pPr>
    <w:rPr>
      <w:rFonts w:ascii="Calibri" w:cstheme="minorBidi" w:eastAsiaTheme="minorHAnsi" w:hAnsi="Calibri"/>
      <w:color w:val="auto"/>
      <w:szCs w:val="21"/>
    </w:rPr>
  </w:style>
  <w:style w:customStyle="1" w:styleId="PlainTextChar" w:type="character">
    <w:name w:val="Plain Text Char"/>
    <w:basedOn w:val="DefaultParagraphFont"/>
    <w:link w:val="PlainText"/>
    <w:uiPriority w:val="99"/>
    <w:rsid w:val="009C0781"/>
    <w:rPr>
      <w:rFonts w:ascii="Calibri" w:hAnsi="Calibri"/>
      <w:szCs w:val="21"/>
      <w:lang w:val="cs"/>
    </w:rPr>
  </w:style>
  <w:style w:customStyle="1" w:styleId="UnresolvedMention1" w:type="character">
    <w:name w:val="Unresolved Mention1"/>
    <w:basedOn w:val="DefaultParagraphFont"/>
    <w:uiPriority w:val="99"/>
    <w:semiHidden/>
    <w:unhideWhenUsed/>
    <w:rsid w:val="00C87687"/>
    <w:rPr>
      <w:color w:val="605E5C"/>
      <w:shd w:color="auto" w:fill="E1DFDD" w:val="clear"/>
    </w:rPr>
  </w:style>
  <w:style w:styleId="Date" w:type="paragraph">
    <w:name w:val="Date"/>
    <w:basedOn w:val="Subtitle"/>
    <w:next w:val="Normal"/>
    <w:link w:val="DateChar"/>
    <w:uiPriority w:val="99"/>
    <w:unhideWhenUsed/>
    <w:rsid w:val="008B382F"/>
    <w:pPr>
      <w:spacing w:after="120"/>
      <w:ind w:right="74"/>
    </w:pPr>
  </w:style>
  <w:style w:customStyle="1" w:styleId="DateChar" w:type="character">
    <w:name w:val="Date Char"/>
    <w:basedOn w:val="DefaultParagraphFont"/>
    <w:link w:val="Date"/>
    <w:uiPriority w:val="99"/>
    <w:rsid w:val="008B382F"/>
    <w:rPr>
      <w:rFonts w:ascii="Calibri" w:cstheme="majorBidi" w:eastAsiaTheme="majorEastAsia" w:hAnsi="Calibri"/>
      <w:bCs/>
      <w:color w:val="064094"/>
      <w:kern w:val="32"/>
      <w:sz w:val="24"/>
      <w:szCs w:val="32"/>
      <w:lang w:val="cs"/>
    </w:rPr>
  </w:style>
  <w:style w:customStyle="1" w:styleId="Figure" w:type="paragraph">
    <w:name w:val="Figure"/>
    <w:basedOn w:val="Normal"/>
    <w:qFormat/>
    <w:rsid w:val="005F798A"/>
    <w:pPr>
      <w:spacing w:after="0"/>
    </w:pPr>
  </w:style>
  <w:style w:customStyle="1" w:styleId="CaptionedFigure" w:type="paragraph">
    <w:name w:val="Captioned Figure"/>
    <w:basedOn w:val="Figure"/>
    <w:qFormat/>
    <w:rsid w:val="001F0C4E"/>
  </w:style>
  <w:style w:type="paragraph" w:customStyle="1" w:styleId="SourceCode">
    <w:name w:val="Source Code"/>
    <w:basedOn w:val="Normal"/>
    <w:link w:val="VerbatimChar"/>
    <w:pPr>
      <w:wordWrap w:val="off"/>
      <w:shd w:val="clear" w:fill="f8f8f8"/>
    </w:pPr>
  </w:style>
  <w:style w:type="character" w:customStyle="1" w:styleId="KeywordTok">
    <w:name w:val="KeywordTok"/>
    <w:basedOn w:val="VerbatimChar"/>
    <w:rPr>
      <w:color w:val="204a87"/>
      <w:shd w:val="clear" w:fill="f8f8f8"/>
      <w:b/>
    </w:rPr>
  </w:style>
  <w:style w:type="character" w:customStyle="1" w:styleId="DataTypeTok">
    <w:name w:val="DataTypeTok"/>
    <w:basedOn w:val="VerbatimChar"/>
    <w:rPr>
      <w:color w:val="204a87"/>
      <w:shd w:val="clear" w:fill="f8f8f8"/>
    </w:rPr>
  </w:style>
  <w:style w:type="character" w:customStyle="1" w:styleId="DecValTok">
    <w:name w:val="DecValTok"/>
    <w:basedOn w:val="VerbatimChar"/>
    <w:rPr>
      <w:color w:val="0000cf"/>
      <w:shd w:val="clear" w:fill="f8f8f8"/>
    </w:rPr>
  </w:style>
  <w:style w:type="character" w:customStyle="1" w:styleId="BaseNTok">
    <w:name w:val="BaseNTok"/>
    <w:basedOn w:val="VerbatimChar"/>
    <w:rPr>
      <w:color w:val="0000cf"/>
      <w:shd w:val="clear" w:fill="f8f8f8"/>
    </w:rPr>
  </w:style>
  <w:style w:type="character" w:customStyle="1" w:styleId="FloatTok">
    <w:name w:val="FloatTok"/>
    <w:basedOn w:val="VerbatimChar"/>
    <w:rPr>
      <w:color w:val="0000cf"/>
      <w:shd w:val="clear" w:fill="f8f8f8"/>
    </w:rPr>
  </w:style>
  <w:style w:type="character" w:customStyle="1" w:styleId="ConstantTok">
    <w:name w:val="ConstantTok"/>
    <w:basedOn w:val="VerbatimChar"/>
    <w:rPr>
      <w:color w:val="000000"/>
      <w:shd w:val="clear" w:fill="f8f8f8"/>
    </w:rPr>
  </w:style>
  <w:style w:type="character" w:customStyle="1" w:styleId="CharTok">
    <w:name w:val="CharTok"/>
    <w:basedOn w:val="VerbatimChar"/>
    <w:rPr>
      <w:color w:val="4e9a06"/>
      <w:shd w:val="clear" w:fill="f8f8f8"/>
    </w:rPr>
  </w:style>
  <w:style w:type="character" w:customStyle="1" w:styleId="SpecialCharTok">
    <w:name w:val="SpecialCharTok"/>
    <w:basedOn w:val="VerbatimChar"/>
    <w:rPr>
      <w:color w:val="000000"/>
      <w:shd w:val="clear" w:fill="f8f8f8"/>
    </w:rPr>
  </w:style>
  <w:style w:type="character" w:customStyle="1" w:styleId="StringTok">
    <w:name w:val="StringTok"/>
    <w:basedOn w:val="VerbatimChar"/>
    <w:rPr>
      <w:color w:val="4e9a06"/>
      <w:shd w:val="clear" w:fill="f8f8f8"/>
    </w:rPr>
  </w:style>
  <w:style w:type="character" w:customStyle="1" w:styleId="VerbatimStringTok">
    <w:name w:val="VerbatimStringTok"/>
    <w:basedOn w:val="VerbatimChar"/>
    <w:rPr>
      <w:color w:val="4e9a06"/>
      <w:shd w:val="clear" w:fill="f8f8f8"/>
    </w:rPr>
  </w:style>
  <w:style w:type="character" w:customStyle="1" w:styleId="SpecialStringTok">
    <w:name w:val="SpecialStringTok"/>
    <w:basedOn w:val="VerbatimChar"/>
    <w:rPr>
      <w:color w:val="4e9a06"/>
      <w:shd w:val="clear" w:fill="f8f8f8"/>
    </w:rPr>
  </w:style>
  <w:style w:type="character" w:customStyle="1" w:styleId="ImportTok">
    <w:name w:val="ImportTok"/>
    <w:basedOn w:val="VerbatimChar"/>
    <w:rPr>
      <w:shd w:val="clear" w:fill="f8f8f8"/>
    </w:rPr>
  </w:style>
  <w:style w:type="character" w:customStyle="1" w:styleId="CommentTok">
    <w:name w:val="CommentTok"/>
    <w:basedOn w:val="VerbatimChar"/>
    <w:rPr>
      <w:color w:val="8f5902"/>
      <w:shd w:val="clear" w:fill="f8f8f8"/>
      <w:i/>
    </w:rPr>
  </w:style>
  <w:style w:type="character" w:customStyle="1" w:styleId="DocumentationTok">
    <w:name w:val="DocumentationTok"/>
    <w:basedOn w:val="VerbatimChar"/>
    <w:rPr>
      <w:color w:val="8f5902"/>
      <w:shd w:val="clear" w:fill="f8f8f8"/>
      <w:b/>
      <w:i/>
    </w:rPr>
  </w:style>
  <w:style w:type="character" w:customStyle="1" w:styleId="AnnotationTok">
    <w:name w:val="AnnotationTok"/>
    <w:basedOn w:val="VerbatimChar"/>
    <w:rPr>
      <w:color w:val="8f5902"/>
      <w:shd w:val="clear" w:fill="f8f8f8"/>
      <w:b/>
      <w:i/>
    </w:rPr>
  </w:style>
  <w:style w:type="character" w:customStyle="1" w:styleId="CommentVarTok">
    <w:name w:val="CommentVarTok"/>
    <w:basedOn w:val="VerbatimChar"/>
    <w:rPr>
      <w:color w:val="8f5902"/>
      <w:shd w:val="clear" w:fill="f8f8f8"/>
      <w:b/>
      <w:i/>
    </w:rPr>
  </w:style>
  <w:style w:type="character" w:customStyle="1" w:styleId="OtherTok">
    <w:name w:val="OtherTok"/>
    <w:basedOn w:val="VerbatimChar"/>
    <w:rPr>
      <w:color w:val="8f5902"/>
      <w:shd w:val="clear" w:fill="f8f8f8"/>
    </w:rPr>
  </w:style>
  <w:style w:type="character" w:customStyle="1" w:styleId="FunctionTok">
    <w:name w:val="FunctionTok"/>
    <w:basedOn w:val="VerbatimChar"/>
    <w:rPr>
      <w:color w:val="000000"/>
      <w:shd w:val="clear" w:fill="f8f8f8"/>
    </w:rPr>
  </w:style>
  <w:style w:type="character" w:customStyle="1" w:styleId="VariableTok">
    <w:name w:val="VariableTok"/>
    <w:basedOn w:val="VerbatimChar"/>
    <w:rPr>
      <w:color w:val="000000"/>
      <w:shd w:val="clear" w:fill="f8f8f8"/>
    </w:rPr>
  </w:style>
  <w:style w:type="character" w:customStyle="1" w:styleId="ControlFlowTok">
    <w:name w:val="ControlFlowTok"/>
    <w:basedOn w:val="VerbatimChar"/>
    <w:rPr>
      <w:color w:val="204a87"/>
      <w:shd w:val="clear" w:fill="f8f8f8"/>
      <w:b/>
    </w:rPr>
  </w:style>
  <w:style w:type="character" w:customStyle="1" w:styleId="OperatorTok">
    <w:name w:val="OperatorTok"/>
    <w:basedOn w:val="VerbatimChar"/>
    <w:rPr>
      <w:color w:val="ce5c00"/>
      <w:shd w:val="clear" w:fill="f8f8f8"/>
      <w:b/>
    </w:rPr>
  </w:style>
  <w:style w:type="character" w:customStyle="1" w:styleId="BuiltInTok">
    <w:name w:val="BuiltInTok"/>
    <w:basedOn w:val="VerbatimChar"/>
    <w:rPr>
      <w:shd w:val="clear" w:fill="f8f8f8"/>
    </w:rPr>
  </w:style>
  <w:style w:type="character" w:customStyle="1" w:styleId="ExtensionTok">
    <w:name w:val="ExtensionTok"/>
    <w:basedOn w:val="VerbatimChar"/>
    <w:rPr>
      <w:shd w:val="clear" w:fill="f8f8f8"/>
    </w:rPr>
  </w:style>
  <w:style w:type="character" w:customStyle="1" w:styleId="PreprocessorTok">
    <w:name w:val="PreprocessorTok"/>
    <w:basedOn w:val="VerbatimChar"/>
    <w:rPr>
      <w:color w:val="8f5902"/>
      <w:shd w:val="clear" w:fill="f8f8f8"/>
      <w:i/>
    </w:rPr>
  </w:style>
  <w:style w:type="character" w:customStyle="1" w:styleId="AttributeTok">
    <w:name w:val="AttributeTok"/>
    <w:basedOn w:val="VerbatimChar"/>
    <w:rPr>
      <w:color w:val="c4a000"/>
      <w:shd w:val="clear" w:fill="f8f8f8"/>
    </w:rPr>
  </w:style>
  <w:style w:type="character" w:customStyle="1" w:styleId="RegionMarkerTok">
    <w:name w:val="RegionMarkerTok"/>
    <w:basedOn w:val="VerbatimChar"/>
    <w:rPr>
      <w:shd w:val="clear" w:fill="f8f8f8"/>
    </w:rPr>
  </w:style>
  <w:style w:type="character" w:customStyle="1" w:styleId="InformationTok">
    <w:name w:val="InformationTok"/>
    <w:basedOn w:val="VerbatimChar"/>
    <w:rPr>
      <w:color w:val="8f5902"/>
      <w:shd w:val="clear" w:fill="f8f8f8"/>
      <w:b/>
      <w:i/>
    </w:rPr>
  </w:style>
  <w:style w:type="character" w:customStyle="1" w:styleId="WarningTok">
    <w:name w:val="WarningTok"/>
    <w:basedOn w:val="VerbatimChar"/>
    <w:rPr>
      <w:color w:val="8f5902"/>
      <w:shd w:val="clear" w:fill="f8f8f8"/>
      <w:b/>
      <w:i/>
    </w:rPr>
  </w:style>
  <w:style w:type="character" w:customStyle="1" w:styleId="AlertTok">
    <w:name w:val="AlertTok"/>
    <w:basedOn w:val="VerbatimChar"/>
    <w:rPr>
      <w:color w:val="ef2929"/>
      <w:shd w:val="clear" w:fill="f8f8f8"/>
    </w:rPr>
  </w:style>
  <w:style w:type="character" w:customStyle="1" w:styleId="ErrorTok">
    <w:name w:val="ErrorTok"/>
    <w:basedOn w:val="VerbatimChar"/>
    <w:rPr>
      <w:color w:val="a40000"/>
      <w:shd w:val="clear" w:fill="f8f8f8"/>
      <w:b/>
    </w:rPr>
  </w:style>
  <w:style w:type="character" w:customStyle="1" w:styleId="NormalTok">
    <w:name w:val="NormalTok"/>
    <w:basedOn w:val="VerbatimChar"/>
    <w:rPr>
      <w:shd w:val="clear" w:fill="f8f8f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2880">
      <w:bodyDiv w:val="1"/>
      <w:marLeft w:val="0"/>
      <w:marRight w:val="0"/>
      <w:marTop w:val="0"/>
      <w:marBottom w:val="0"/>
      <w:divBdr>
        <w:top w:val="none" w:sz="0" w:space="0" w:color="auto"/>
        <w:left w:val="none" w:sz="0" w:space="0" w:color="auto"/>
        <w:bottom w:val="none" w:sz="0" w:space="0" w:color="auto"/>
        <w:right w:val="none" w:sz="0" w:space="0" w:color="auto"/>
      </w:divBdr>
    </w:div>
    <w:div w:id="43870926">
      <w:bodyDiv w:val="1"/>
      <w:marLeft w:val="0"/>
      <w:marRight w:val="0"/>
      <w:marTop w:val="0"/>
      <w:marBottom w:val="0"/>
      <w:divBdr>
        <w:top w:val="none" w:sz="0" w:space="0" w:color="auto"/>
        <w:left w:val="none" w:sz="0" w:space="0" w:color="auto"/>
        <w:bottom w:val="none" w:sz="0" w:space="0" w:color="auto"/>
        <w:right w:val="none" w:sz="0" w:space="0" w:color="auto"/>
      </w:divBdr>
    </w:div>
    <w:div w:id="46533132">
      <w:bodyDiv w:val="1"/>
      <w:marLeft w:val="0"/>
      <w:marRight w:val="0"/>
      <w:marTop w:val="0"/>
      <w:marBottom w:val="0"/>
      <w:divBdr>
        <w:top w:val="none" w:sz="0" w:space="0" w:color="auto"/>
        <w:left w:val="none" w:sz="0" w:space="0" w:color="auto"/>
        <w:bottom w:val="none" w:sz="0" w:space="0" w:color="auto"/>
        <w:right w:val="none" w:sz="0" w:space="0" w:color="auto"/>
      </w:divBdr>
    </w:div>
    <w:div w:id="58331724">
      <w:bodyDiv w:val="1"/>
      <w:marLeft w:val="0"/>
      <w:marRight w:val="0"/>
      <w:marTop w:val="0"/>
      <w:marBottom w:val="0"/>
      <w:divBdr>
        <w:top w:val="none" w:sz="0" w:space="0" w:color="auto"/>
        <w:left w:val="none" w:sz="0" w:space="0" w:color="auto"/>
        <w:bottom w:val="none" w:sz="0" w:space="0" w:color="auto"/>
        <w:right w:val="none" w:sz="0" w:space="0" w:color="auto"/>
      </w:divBdr>
      <w:divsChild>
        <w:div w:id="1712194183">
          <w:marLeft w:val="0"/>
          <w:marRight w:val="0"/>
          <w:marTop w:val="0"/>
          <w:marBottom w:val="0"/>
          <w:divBdr>
            <w:top w:val="none" w:sz="0" w:space="0" w:color="auto"/>
            <w:left w:val="none" w:sz="0" w:space="0" w:color="auto"/>
            <w:bottom w:val="none" w:sz="0" w:space="0" w:color="auto"/>
            <w:right w:val="none" w:sz="0" w:space="0" w:color="auto"/>
          </w:divBdr>
          <w:divsChild>
            <w:div w:id="289867025">
              <w:marLeft w:val="0"/>
              <w:marRight w:val="0"/>
              <w:marTop w:val="0"/>
              <w:marBottom w:val="0"/>
              <w:divBdr>
                <w:top w:val="none" w:sz="0" w:space="0" w:color="auto"/>
                <w:left w:val="none" w:sz="0" w:space="0" w:color="auto"/>
                <w:bottom w:val="none" w:sz="0" w:space="0" w:color="auto"/>
                <w:right w:val="none" w:sz="0" w:space="0" w:color="auto"/>
              </w:divBdr>
              <w:divsChild>
                <w:div w:id="6106779">
                  <w:marLeft w:val="0"/>
                  <w:marRight w:val="0"/>
                  <w:marTop w:val="0"/>
                  <w:marBottom w:val="0"/>
                  <w:divBdr>
                    <w:top w:val="none" w:sz="0" w:space="0" w:color="auto"/>
                    <w:left w:val="none" w:sz="0" w:space="0" w:color="auto"/>
                    <w:bottom w:val="none" w:sz="0" w:space="0" w:color="auto"/>
                    <w:right w:val="none" w:sz="0" w:space="0" w:color="auto"/>
                  </w:divBdr>
                  <w:divsChild>
                    <w:div w:id="1233811664">
                      <w:marLeft w:val="0"/>
                      <w:marRight w:val="0"/>
                      <w:marTop w:val="0"/>
                      <w:marBottom w:val="0"/>
                      <w:divBdr>
                        <w:top w:val="none" w:sz="0" w:space="0" w:color="auto"/>
                        <w:left w:val="none" w:sz="0" w:space="0" w:color="auto"/>
                        <w:bottom w:val="none" w:sz="0" w:space="0" w:color="auto"/>
                        <w:right w:val="single" w:sz="6" w:space="0" w:color="FFFFFF"/>
                      </w:divBdr>
                    </w:div>
                  </w:divsChild>
                </w:div>
              </w:divsChild>
            </w:div>
          </w:divsChild>
        </w:div>
      </w:divsChild>
    </w:div>
    <w:div w:id="65500304">
      <w:bodyDiv w:val="1"/>
      <w:marLeft w:val="0"/>
      <w:marRight w:val="0"/>
      <w:marTop w:val="0"/>
      <w:marBottom w:val="0"/>
      <w:divBdr>
        <w:top w:val="none" w:sz="0" w:space="0" w:color="auto"/>
        <w:left w:val="none" w:sz="0" w:space="0" w:color="auto"/>
        <w:bottom w:val="none" w:sz="0" w:space="0" w:color="auto"/>
        <w:right w:val="none" w:sz="0" w:space="0" w:color="auto"/>
      </w:divBdr>
    </w:div>
    <w:div w:id="108593260">
      <w:bodyDiv w:val="1"/>
      <w:marLeft w:val="0"/>
      <w:marRight w:val="0"/>
      <w:marTop w:val="0"/>
      <w:marBottom w:val="0"/>
      <w:divBdr>
        <w:top w:val="none" w:sz="0" w:space="0" w:color="auto"/>
        <w:left w:val="none" w:sz="0" w:space="0" w:color="auto"/>
        <w:bottom w:val="none" w:sz="0" w:space="0" w:color="auto"/>
        <w:right w:val="none" w:sz="0" w:space="0" w:color="auto"/>
      </w:divBdr>
      <w:divsChild>
        <w:div w:id="1257203992">
          <w:marLeft w:val="0"/>
          <w:marRight w:val="0"/>
          <w:marTop w:val="0"/>
          <w:marBottom w:val="0"/>
          <w:divBdr>
            <w:top w:val="none" w:sz="0" w:space="0" w:color="auto"/>
            <w:left w:val="none" w:sz="0" w:space="0" w:color="auto"/>
            <w:bottom w:val="none" w:sz="0" w:space="0" w:color="auto"/>
            <w:right w:val="none" w:sz="0" w:space="0" w:color="auto"/>
          </w:divBdr>
          <w:divsChild>
            <w:div w:id="1020278139">
              <w:marLeft w:val="0"/>
              <w:marRight w:val="0"/>
              <w:marTop w:val="0"/>
              <w:marBottom w:val="0"/>
              <w:divBdr>
                <w:top w:val="none" w:sz="0" w:space="0" w:color="auto"/>
                <w:left w:val="none" w:sz="0" w:space="0" w:color="auto"/>
                <w:bottom w:val="none" w:sz="0" w:space="0" w:color="auto"/>
                <w:right w:val="none" w:sz="0" w:space="0" w:color="auto"/>
              </w:divBdr>
              <w:divsChild>
                <w:div w:id="13217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7810">
          <w:marLeft w:val="0"/>
          <w:marRight w:val="0"/>
          <w:marTop w:val="0"/>
          <w:marBottom w:val="0"/>
          <w:divBdr>
            <w:top w:val="none" w:sz="0" w:space="0" w:color="auto"/>
            <w:left w:val="none" w:sz="0" w:space="0" w:color="auto"/>
            <w:bottom w:val="none" w:sz="0" w:space="0" w:color="auto"/>
            <w:right w:val="none" w:sz="0" w:space="0" w:color="auto"/>
          </w:divBdr>
        </w:div>
      </w:divsChild>
    </w:div>
    <w:div w:id="132991988">
      <w:bodyDiv w:val="1"/>
      <w:marLeft w:val="0"/>
      <w:marRight w:val="0"/>
      <w:marTop w:val="0"/>
      <w:marBottom w:val="0"/>
      <w:divBdr>
        <w:top w:val="none" w:sz="0" w:space="0" w:color="auto"/>
        <w:left w:val="none" w:sz="0" w:space="0" w:color="auto"/>
        <w:bottom w:val="none" w:sz="0" w:space="0" w:color="auto"/>
        <w:right w:val="none" w:sz="0" w:space="0" w:color="auto"/>
      </w:divBdr>
    </w:div>
    <w:div w:id="161431830">
      <w:bodyDiv w:val="1"/>
      <w:marLeft w:val="0"/>
      <w:marRight w:val="0"/>
      <w:marTop w:val="0"/>
      <w:marBottom w:val="0"/>
      <w:divBdr>
        <w:top w:val="none" w:sz="0" w:space="0" w:color="auto"/>
        <w:left w:val="none" w:sz="0" w:space="0" w:color="auto"/>
        <w:bottom w:val="none" w:sz="0" w:space="0" w:color="auto"/>
        <w:right w:val="none" w:sz="0" w:space="0" w:color="auto"/>
      </w:divBdr>
    </w:div>
    <w:div w:id="187452101">
      <w:bodyDiv w:val="1"/>
      <w:marLeft w:val="0"/>
      <w:marRight w:val="0"/>
      <w:marTop w:val="0"/>
      <w:marBottom w:val="0"/>
      <w:divBdr>
        <w:top w:val="none" w:sz="0" w:space="0" w:color="auto"/>
        <w:left w:val="none" w:sz="0" w:space="0" w:color="auto"/>
        <w:bottom w:val="none" w:sz="0" w:space="0" w:color="auto"/>
        <w:right w:val="none" w:sz="0" w:space="0" w:color="auto"/>
      </w:divBdr>
    </w:div>
    <w:div w:id="197814866">
      <w:bodyDiv w:val="1"/>
      <w:marLeft w:val="0"/>
      <w:marRight w:val="0"/>
      <w:marTop w:val="0"/>
      <w:marBottom w:val="0"/>
      <w:divBdr>
        <w:top w:val="none" w:sz="0" w:space="0" w:color="auto"/>
        <w:left w:val="none" w:sz="0" w:space="0" w:color="auto"/>
        <w:bottom w:val="none" w:sz="0" w:space="0" w:color="auto"/>
        <w:right w:val="none" w:sz="0" w:space="0" w:color="auto"/>
      </w:divBdr>
    </w:div>
    <w:div w:id="211430784">
      <w:bodyDiv w:val="1"/>
      <w:marLeft w:val="0"/>
      <w:marRight w:val="0"/>
      <w:marTop w:val="0"/>
      <w:marBottom w:val="0"/>
      <w:divBdr>
        <w:top w:val="none" w:sz="0" w:space="0" w:color="auto"/>
        <w:left w:val="none" w:sz="0" w:space="0" w:color="auto"/>
        <w:bottom w:val="none" w:sz="0" w:space="0" w:color="auto"/>
        <w:right w:val="none" w:sz="0" w:space="0" w:color="auto"/>
      </w:divBdr>
    </w:div>
    <w:div w:id="217476577">
      <w:bodyDiv w:val="1"/>
      <w:marLeft w:val="0"/>
      <w:marRight w:val="0"/>
      <w:marTop w:val="0"/>
      <w:marBottom w:val="0"/>
      <w:divBdr>
        <w:top w:val="none" w:sz="0" w:space="0" w:color="auto"/>
        <w:left w:val="none" w:sz="0" w:space="0" w:color="auto"/>
        <w:bottom w:val="none" w:sz="0" w:space="0" w:color="auto"/>
        <w:right w:val="none" w:sz="0" w:space="0" w:color="auto"/>
      </w:divBdr>
    </w:div>
    <w:div w:id="226452957">
      <w:bodyDiv w:val="1"/>
      <w:marLeft w:val="0"/>
      <w:marRight w:val="0"/>
      <w:marTop w:val="0"/>
      <w:marBottom w:val="0"/>
      <w:divBdr>
        <w:top w:val="none" w:sz="0" w:space="0" w:color="auto"/>
        <w:left w:val="none" w:sz="0" w:space="0" w:color="auto"/>
        <w:bottom w:val="none" w:sz="0" w:space="0" w:color="auto"/>
        <w:right w:val="none" w:sz="0" w:space="0" w:color="auto"/>
      </w:divBdr>
      <w:divsChild>
        <w:div w:id="1215463266">
          <w:marLeft w:val="0"/>
          <w:marRight w:val="0"/>
          <w:marTop w:val="0"/>
          <w:marBottom w:val="0"/>
          <w:divBdr>
            <w:top w:val="none" w:sz="0" w:space="0" w:color="auto"/>
            <w:left w:val="none" w:sz="0" w:space="0" w:color="auto"/>
            <w:bottom w:val="none" w:sz="0" w:space="0" w:color="auto"/>
            <w:right w:val="none" w:sz="0" w:space="0" w:color="auto"/>
          </w:divBdr>
        </w:div>
      </w:divsChild>
    </w:div>
    <w:div w:id="239369217">
      <w:bodyDiv w:val="1"/>
      <w:marLeft w:val="0"/>
      <w:marRight w:val="0"/>
      <w:marTop w:val="0"/>
      <w:marBottom w:val="0"/>
      <w:divBdr>
        <w:top w:val="none" w:sz="0" w:space="0" w:color="auto"/>
        <w:left w:val="none" w:sz="0" w:space="0" w:color="auto"/>
        <w:bottom w:val="none" w:sz="0" w:space="0" w:color="auto"/>
        <w:right w:val="none" w:sz="0" w:space="0" w:color="auto"/>
      </w:divBdr>
    </w:div>
    <w:div w:id="245455933">
      <w:bodyDiv w:val="1"/>
      <w:marLeft w:val="0"/>
      <w:marRight w:val="0"/>
      <w:marTop w:val="0"/>
      <w:marBottom w:val="0"/>
      <w:divBdr>
        <w:top w:val="none" w:sz="0" w:space="0" w:color="auto"/>
        <w:left w:val="none" w:sz="0" w:space="0" w:color="auto"/>
        <w:bottom w:val="none" w:sz="0" w:space="0" w:color="auto"/>
        <w:right w:val="none" w:sz="0" w:space="0" w:color="auto"/>
      </w:divBdr>
    </w:div>
    <w:div w:id="265309502">
      <w:bodyDiv w:val="1"/>
      <w:marLeft w:val="0"/>
      <w:marRight w:val="0"/>
      <w:marTop w:val="0"/>
      <w:marBottom w:val="0"/>
      <w:divBdr>
        <w:top w:val="none" w:sz="0" w:space="0" w:color="auto"/>
        <w:left w:val="none" w:sz="0" w:space="0" w:color="auto"/>
        <w:bottom w:val="none" w:sz="0" w:space="0" w:color="auto"/>
        <w:right w:val="none" w:sz="0" w:space="0" w:color="auto"/>
      </w:divBdr>
    </w:div>
    <w:div w:id="280385430">
      <w:bodyDiv w:val="1"/>
      <w:marLeft w:val="0"/>
      <w:marRight w:val="0"/>
      <w:marTop w:val="0"/>
      <w:marBottom w:val="0"/>
      <w:divBdr>
        <w:top w:val="none" w:sz="0" w:space="0" w:color="auto"/>
        <w:left w:val="none" w:sz="0" w:space="0" w:color="auto"/>
        <w:bottom w:val="none" w:sz="0" w:space="0" w:color="auto"/>
        <w:right w:val="none" w:sz="0" w:space="0" w:color="auto"/>
      </w:divBdr>
      <w:divsChild>
        <w:div w:id="215774993">
          <w:marLeft w:val="0"/>
          <w:marRight w:val="0"/>
          <w:marTop w:val="0"/>
          <w:marBottom w:val="0"/>
          <w:divBdr>
            <w:top w:val="none" w:sz="0" w:space="0" w:color="auto"/>
            <w:left w:val="none" w:sz="0" w:space="0" w:color="auto"/>
            <w:bottom w:val="none" w:sz="0" w:space="0" w:color="auto"/>
            <w:right w:val="none" w:sz="0" w:space="0" w:color="auto"/>
          </w:divBdr>
        </w:div>
        <w:div w:id="277226913">
          <w:marLeft w:val="0"/>
          <w:marRight w:val="0"/>
          <w:marTop w:val="0"/>
          <w:marBottom w:val="0"/>
          <w:divBdr>
            <w:top w:val="none" w:sz="0" w:space="0" w:color="auto"/>
            <w:left w:val="none" w:sz="0" w:space="0" w:color="auto"/>
            <w:bottom w:val="none" w:sz="0" w:space="0" w:color="auto"/>
            <w:right w:val="none" w:sz="0" w:space="0" w:color="auto"/>
          </w:divBdr>
        </w:div>
        <w:div w:id="663974732">
          <w:marLeft w:val="0"/>
          <w:marRight w:val="0"/>
          <w:marTop w:val="0"/>
          <w:marBottom w:val="0"/>
          <w:divBdr>
            <w:top w:val="none" w:sz="0" w:space="0" w:color="auto"/>
            <w:left w:val="none" w:sz="0" w:space="0" w:color="auto"/>
            <w:bottom w:val="none" w:sz="0" w:space="0" w:color="auto"/>
            <w:right w:val="none" w:sz="0" w:space="0" w:color="auto"/>
          </w:divBdr>
        </w:div>
        <w:div w:id="780490592">
          <w:marLeft w:val="0"/>
          <w:marRight w:val="0"/>
          <w:marTop w:val="0"/>
          <w:marBottom w:val="0"/>
          <w:divBdr>
            <w:top w:val="none" w:sz="0" w:space="0" w:color="auto"/>
            <w:left w:val="none" w:sz="0" w:space="0" w:color="auto"/>
            <w:bottom w:val="none" w:sz="0" w:space="0" w:color="auto"/>
            <w:right w:val="none" w:sz="0" w:space="0" w:color="auto"/>
          </w:divBdr>
        </w:div>
        <w:div w:id="782270077">
          <w:marLeft w:val="0"/>
          <w:marRight w:val="0"/>
          <w:marTop w:val="0"/>
          <w:marBottom w:val="0"/>
          <w:divBdr>
            <w:top w:val="none" w:sz="0" w:space="0" w:color="auto"/>
            <w:left w:val="none" w:sz="0" w:space="0" w:color="auto"/>
            <w:bottom w:val="none" w:sz="0" w:space="0" w:color="auto"/>
            <w:right w:val="none" w:sz="0" w:space="0" w:color="auto"/>
          </w:divBdr>
        </w:div>
        <w:div w:id="868178841">
          <w:marLeft w:val="0"/>
          <w:marRight w:val="0"/>
          <w:marTop w:val="0"/>
          <w:marBottom w:val="0"/>
          <w:divBdr>
            <w:top w:val="none" w:sz="0" w:space="0" w:color="auto"/>
            <w:left w:val="none" w:sz="0" w:space="0" w:color="auto"/>
            <w:bottom w:val="none" w:sz="0" w:space="0" w:color="auto"/>
            <w:right w:val="none" w:sz="0" w:space="0" w:color="auto"/>
          </w:divBdr>
        </w:div>
        <w:div w:id="1202667374">
          <w:marLeft w:val="0"/>
          <w:marRight w:val="0"/>
          <w:marTop w:val="0"/>
          <w:marBottom w:val="0"/>
          <w:divBdr>
            <w:top w:val="none" w:sz="0" w:space="0" w:color="auto"/>
            <w:left w:val="none" w:sz="0" w:space="0" w:color="auto"/>
            <w:bottom w:val="none" w:sz="0" w:space="0" w:color="auto"/>
            <w:right w:val="none" w:sz="0" w:space="0" w:color="auto"/>
          </w:divBdr>
        </w:div>
        <w:div w:id="1871842077">
          <w:marLeft w:val="0"/>
          <w:marRight w:val="0"/>
          <w:marTop w:val="0"/>
          <w:marBottom w:val="0"/>
          <w:divBdr>
            <w:top w:val="none" w:sz="0" w:space="0" w:color="auto"/>
            <w:left w:val="none" w:sz="0" w:space="0" w:color="auto"/>
            <w:bottom w:val="none" w:sz="0" w:space="0" w:color="auto"/>
            <w:right w:val="none" w:sz="0" w:space="0" w:color="auto"/>
          </w:divBdr>
        </w:div>
        <w:div w:id="1935094240">
          <w:marLeft w:val="0"/>
          <w:marRight w:val="0"/>
          <w:marTop w:val="0"/>
          <w:marBottom w:val="0"/>
          <w:divBdr>
            <w:top w:val="none" w:sz="0" w:space="0" w:color="auto"/>
            <w:left w:val="none" w:sz="0" w:space="0" w:color="auto"/>
            <w:bottom w:val="none" w:sz="0" w:space="0" w:color="auto"/>
            <w:right w:val="none" w:sz="0" w:space="0" w:color="auto"/>
          </w:divBdr>
        </w:div>
      </w:divsChild>
    </w:div>
    <w:div w:id="347215096">
      <w:bodyDiv w:val="1"/>
      <w:marLeft w:val="0"/>
      <w:marRight w:val="0"/>
      <w:marTop w:val="0"/>
      <w:marBottom w:val="0"/>
      <w:divBdr>
        <w:top w:val="none" w:sz="0" w:space="0" w:color="auto"/>
        <w:left w:val="none" w:sz="0" w:space="0" w:color="auto"/>
        <w:bottom w:val="none" w:sz="0" w:space="0" w:color="auto"/>
        <w:right w:val="none" w:sz="0" w:space="0" w:color="auto"/>
      </w:divBdr>
    </w:div>
    <w:div w:id="379287986">
      <w:bodyDiv w:val="1"/>
      <w:marLeft w:val="0"/>
      <w:marRight w:val="0"/>
      <w:marTop w:val="0"/>
      <w:marBottom w:val="0"/>
      <w:divBdr>
        <w:top w:val="none" w:sz="0" w:space="0" w:color="auto"/>
        <w:left w:val="none" w:sz="0" w:space="0" w:color="auto"/>
        <w:bottom w:val="none" w:sz="0" w:space="0" w:color="auto"/>
        <w:right w:val="none" w:sz="0" w:space="0" w:color="auto"/>
      </w:divBdr>
    </w:div>
    <w:div w:id="379942100">
      <w:bodyDiv w:val="1"/>
      <w:marLeft w:val="0"/>
      <w:marRight w:val="0"/>
      <w:marTop w:val="0"/>
      <w:marBottom w:val="0"/>
      <w:divBdr>
        <w:top w:val="none" w:sz="0" w:space="0" w:color="auto"/>
        <w:left w:val="none" w:sz="0" w:space="0" w:color="auto"/>
        <w:bottom w:val="none" w:sz="0" w:space="0" w:color="auto"/>
        <w:right w:val="none" w:sz="0" w:space="0" w:color="auto"/>
      </w:divBdr>
    </w:div>
    <w:div w:id="394860891">
      <w:bodyDiv w:val="1"/>
      <w:marLeft w:val="0"/>
      <w:marRight w:val="0"/>
      <w:marTop w:val="0"/>
      <w:marBottom w:val="0"/>
      <w:divBdr>
        <w:top w:val="none" w:sz="0" w:space="0" w:color="auto"/>
        <w:left w:val="none" w:sz="0" w:space="0" w:color="auto"/>
        <w:bottom w:val="none" w:sz="0" w:space="0" w:color="auto"/>
        <w:right w:val="none" w:sz="0" w:space="0" w:color="auto"/>
      </w:divBdr>
    </w:div>
    <w:div w:id="403528050">
      <w:bodyDiv w:val="1"/>
      <w:marLeft w:val="0"/>
      <w:marRight w:val="0"/>
      <w:marTop w:val="0"/>
      <w:marBottom w:val="0"/>
      <w:divBdr>
        <w:top w:val="none" w:sz="0" w:space="0" w:color="auto"/>
        <w:left w:val="none" w:sz="0" w:space="0" w:color="auto"/>
        <w:bottom w:val="none" w:sz="0" w:space="0" w:color="auto"/>
        <w:right w:val="none" w:sz="0" w:space="0" w:color="auto"/>
      </w:divBdr>
      <w:divsChild>
        <w:div w:id="482744553">
          <w:marLeft w:val="0"/>
          <w:marRight w:val="0"/>
          <w:marTop w:val="0"/>
          <w:marBottom w:val="0"/>
          <w:divBdr>
            <w:top w:val="none" w:sz="0" w:space="0" w:color="auto"/>
            <w:left w:val="none" w:sz="0" w:space="0" w:color="auto"/>
            <w:bottom w:val="none" w:sz="0" w:space="0" w:color="auto"/>
            <w:right w:val="none" w:sz="0" w:space="0" w:color="auto"/>
          </w:divBdr>
        </w:div>
        <w:div w:id="805467905">
          <w:marLeft w:val="0"/>
          <w:marRight w:val="0"/>
          <w:marTop w:val="0"/>
          <w:marBottom w:val="0"/>
          <w:divBdr>
            <w:top w:val="none" w:sz="0" w:space="0" w:color="auto"/>
            <w:left w:val="none" w:sz="0" w:space="0" w:color="auto"/>
            <w:bottom w:val="none" w:sz="0" w:space="0" w:color="auto"/>
            <w:right w:val="none" w:sz="0" w:space="0" w:color="auto"/>
          </w:divBdr>
        </w:div>
      </w:divsChild>
    </w:div>
    <w:div w:id="461654988">
      <w:bodyDiv w:val="1"/>
      <w:marLeft w:val="0"/>
      <w:marRight w:val="0"/>
      <w:marTop w:val="0"/>
      <w:marBottom w:val="0"/>
      <w:divBdr>
        <w:top w:val="none" w:sz="0" w:space="0" w:color="auto"/>
        <w:left w:val="none" w:sz="0" w:space="0" w:color="auto"/>
        <w:bottom w:val="none" w:sz="0" w:space="0" w:color="auto"/>
        <w:right w:val="none" w:sz="0" w:space="0" w:color="auto"/>
      </w:divBdr>
    </w:div>
    <w:div w:id="475076094">
      <w:bodyDiv w:val="1"/>
      <w:marLeft w:val="0"/>
      <w:marRight w:val="0"/>
      <w:marTop w:val="0"/>
      <w:marBottom w:val="0"/>
      <w:divBdr>
        <w:top w:val="none" w:sz="0" w:space="0" w:color="auto"/>
        <w:left w:val="none" w:sz="0" w:space="0" w:color="auto"/>
        <w:bottom w:val="none" w:sz="0" w:space="0" w:color="auto"/>
        <w:right w:val="none" w:sz="0" w:space="0" w:color="auto"/>
      </w:divBdr>
    </w:div>
    <w:div w:id="500043462">
      <w:bodyDiv w:val="1"/>
      <w:marLeft w:val="0"/>
      <w:marRight w:val="0"/>
      <w:marTop w:val="0"/>
      <w:marBottom w:val="0"/>
      <w:divBdr>
        <w:top w:val="none" w:sz="0" w:space="0" w:color="auto"/>
        <w:left w:val="none" w:sz="0" w:space="0" w:color="auto"/>
        <w:bottom w:val="none" w:sz="0" w:space="0" w:color="auto"/>
        <w:right w:val="none" w:sz="0" w:space="0" w:color="auto"/>
      </w:divBdr>
    </w:div>
    <w:div w:id="508909285">
      <w:bodyDiv w:val="1"/>
      <w:marLeft w:val="0"/>
      <w:marRight w:val="0"/>
      <w:marTop w:val="0"/>
      <w:marBottom w:val="0"/>
      <w:divBdr>
        <w:top w:val="none" w:sz="0" w:space="0" w:color="auto"/>
        <w:left w:val="none" w:sz="0" w:space="0" w:color="auto"/>
        <w:bottom w:val="none" w:sz="0" w:space="0" w:color="auto"/>
        <w:right w:val="none" w:sz="0" w:space="0" w:color="auto"/>
      </w:divBdr>
    </w:div>
    <w:div w:id="510074758">
      <w:bodyDiv w:val="1"/>
      <w:marLeft w:val="0"/>
      <w:marRight w:val="0"/>
      <w:marTop w:val="0"/>
      <w:marBottom w:val="0"/>
      <w:divBdr>
        <w:top w:val="none" w:sz="0" w:space="0" w:color="auto"/>
        <w:left w:val="none" w:sz="0" w:space="0" w:color="auto"/>
        <w:bottom w:val="none" w:sz="0" w:space="0" w:color="auto"/>
        <w:right w:val="none" w:sz="0" w:space="0" w:color="auto"/>
      </w:divBdr>
    </w:div>
    <w:div w:id="529344687">
      <w:bodyDiv w:val="1"/>
      <w:marLeft w:val="0"/>
      <w:marRight w:val="0"/>
      <w:marTop w:val="0"/>
      <w:marBottom w:val="0"/>
      <w:divBdr>
        <w:top w:val="none" w:sz="0" w:space="0" w:color="auto"/>
        <w:left w:val="none" w:sz="0" w:space="0" w:color="auto"/>
        <w:bottom w:val="none" w:sz="0" w:space="0" w:color="auto"/>
        <w:right w:val="none" w:sz="0" w:space="0" w:color="auto"/>
      </w:divBdr>
    </w:div>
    <w:div w:id="557983460">
      <w:bodyDiv w:val="1"/>
      <w:marLeft w:val="0"/>
      <w:marRight w:val="0"/>
      <w:marTop w:val="0"/>
      <w:marBottom w:val="0"/>
      <w:divBdr>
        <w:top w:val="none" w:sz="0" w:space="0" w:color="auto"/>
        <w:left w:val="none" w:sz="0" w:space="0" w:color="auto"/>
        <w:bottom w:val="none" w:sz="0" w:space="0" w:color="auto"/>
        <w:right w:val="none" w:sz="0" w:space="0" w:color="auto"/>
      </w:divBdr>
    </w:div>
    <w:div w:id="580336423">
      <w:bodyDiv w:val="1"/>
      <w:marLeft w:val="0"/>
      <w:marRight w:val="0"/>
      <w:marTop w:val="0"/>
      <w:marBottom w:val="0"/>
      <w:divBdr>
        <w:top w:val="none" w:sz="0" w:space="0" w:color="auto"/>
        <w:left w:val="none" w:sz="0" w:space="0" w:color="auto"/>
        <w:bottom w:val="none" w:sz="0" w:space="0" w:color="auto"/>
        <w:right w:val="none" w:sz="0" w:space="0" w:color="auto"/>
      </w:divBdr>
    </w:div>
    <w:div w:id="586379027">
      <w:bodyDiv w:val="1"/>
      <w:marLeft w:val="0"/>
      <w:marRight w:val="0"/>
      <w:marTop w:val="0"/>
      <w:marBottom w:val="0"/>
      <w:divBdr>
        <w:top w:val="none" w:sz="0" w:space="0" w:color="auto"/>
        <w:left w:val="none" w:sz="0" w:space="0" w:color="auto"/>
        <w:bottom w:val="none" w:sz="0" w:space="0" w:color="auto"/>
        <w:right w:val="none" w:sz="0" w:space="0" w:color="auto"/>
      </w:divBdr>
    </w:div>
    <w:div w:id="632751725">
      <w:bodyDiv w:val="1"/>
      <w:marLeft w:val="0"/>
      <w:marRight w:val="0"/>
      <w:marTop w:val="0"/>
      <w:marBottom w:val="0"/>
      <w:divBdr>
        <w:top w:val="none" w:sz="0" w:space="0" w:color="auto"/>
        <w:left w:val="none" w:sz="0" w:space="0" w:color="auto"/>
        <w:bottom w:val="none" w:sz="0" w:space="0" w:color="auto"/>
        <w:right w:val="none" w:sz="0" w:space="0" w:color="auto"/>
      </w:divBdr>
    </w:div>
    <w:div w:id="670790067">
      <w:bodyDiv w:val="1"/>
      <w:marLeft w:val="0"/>
      <w:marRight w:val="0"/>
      <w:marTop w:val="0"/>
      <w:marBottom w:val="0"/>
      <w:divBdr>
        <w:top w:val="none" w:sz="0" w:space="0" w:color="auto"/>
        <w:left w:val="none" w:sz="0" w:space="0" w:color="auto"/>
        <w:bottom w:val="none" w:sz="0" w:space="0" w:color="auto"/>
        <w:right w:val="none" w:sz="0" w:space="0" w:color="auto"/>
      </w:divBdr>
    </w:div>
    <w:div w:id="691228247">
      <w:bodyDiv w:val="1"/>
      <w:marLeft w:val="0"/>
      <w:marRight w:val="0"/>
      <w:marTop w:val="0"/>
      <w:marBottom w:val="0"/>
      <w:divBdr>
        <w:top w:val="none" w:sz="0" w:space="0" w:color="auto"/>
        <w:left w:val="none" w:sz="0" w:space="0" w:color="auto"/>
        <w:bottom w:val="none" w:sz="0" w:space="0" w:color="auto"/>
        <w:right w:val="none" w:sz="0" w:space="0" w:color="auto"/>
      </w:divBdr>
    </w:div>
    <w:div w:id="711425417">
      <w:bodyDiv w:val="1"/>
      <w:marLeft w:val="0"/>
      <w:marRight w:val="0"/>
      <w:marTop w:val="0"/>
      <w:marBottom w:val="0"/>
      <w:divBdr>
        <w:top w:val="none" w:sz="0" w:space="0" w:color="auto"/>
        <w:left w:val="none" w:sz="0" w:space="0" w:color="auto"/>
        <w:bottom w:val="none" w:sz="0" w:space="0" w:color="auto"/>
        <w:right w:val="none" w:sz="0" w:space="0" w:color="auto"/>
      </w:divBdr>
    </w:div>
    <w:div w:id="741098814">
      <w:bodyDiv w:val="1"/>
      <w:marLeft w:val="0"/>
      <w:marRight w:val="0"/>
      <w:marTop w:val="0"/>
      <w:marBottom w:val="0"/>
      <w:divBdr>
        <w:top w:val="none" w:sz="0" w:space="0" w:color="auto"/>
        <w:left w:val="none" w:sz="0" w:space="0" w:color="auto"/>
        <w:bottom w:val="none" w:sz="0" w:space="0" w:color="auto"/>
        <w:right w:val="none" w:sz="0" w:space="0" w:color="auto"/>
      </w:divBdr>
    </w:div>
    <w:div w:id="751043719">
      <w:bodyDiv w:val="1"/>
      <w:marLeft w:val="0"/>
      <w:marRight w:val="0"/>
      <w:marTop w:val="0"/>
      <w:marBottom w:val="0"/>
      <w:divBdr>
        <w:top w:val="none" w:sz="0" w:space="0" w:color="auto"/>
        <w:left w:val="none" w:sz="0" w:space="0" w:color="auto"/>
        <w:bottom w:val="none" w:sz="0" w:space="0" w:color="auto"/>
        <w:right w:val="none" w:sz="0" w:space="0" w:color="auto"/>
      </w:divBdr>
    </w:div>
    <w:div w:id="757289533">
      <w:bodyDiv w:val="1"/>
      <w:marLeft w:val="0"/>
      <w:marRight w:val="0"/>
      <w:marTop w:val="0"/>
      <w:marBottom w:val="0"/>
      <w:divBdr>
        <w:top w:val="none" w:sz="0" w:space="0" w:color="auto"/>
        <w:left w:val="none" w:sz="0" w:space="0" w:color="auto"/>
        <w:bottom w:val="none" w:sz="0" w:space="0" w:color="auto"/>
        <w:right w:val="none" w:sz="0" w:space="0" w:color="auto"/>
      </w:divBdr>
    </w:div>
    <w:div w:id="764573705">
      <w:bodyDiv w:val="1"/>
      <w:marLeft w:val="0"/>
      <w:marRight w:val="0"/>
      <w:marTop w:val="0"/>
      <w:marBottom w:val="0"/>
      <w:divBdr>
        <w:top w:val="none" w:sz="0" w:space="0" w:color="auto"/>
        <w:left w:val="none" w:sz="0" w:space="0" w:color="auto"/>
        <w:bottom w:val="none" w:sz="0" w:space="0" w:color="auto"/>
        <w:right w:val="none" w:sz="0" w:space="0" w:color="auto"/>
      </w:divBdr>
    </w:div>
    <w:div w:id="768430926">
      <w:bodyDiv w:val="1"/>
      <w:marLeft w:val="0"/>
      <w:marRight w:val="0"/>
      <w:marTop w:val="0"/>
      <w:marBottom w:val="0"/>
      <w:divBdr>
        <w:top w:val="none" w:sz="0" w:space="0" w:color="auto"/>
        <w:left w:val="none" w:sz="0" w:space="0" w:color="auto"/>
        <w:bottom w:val="none" w:sz="0" w:space="0" w:color="auto"/>
        <w:right w:val="none" w:sz="0" w:space="0" w:color="auto"/>
      </w:divBdr>
    </w:div>
    <w:div w:id="788813307">
      <w:bodyDiv w:val="1"/>
      <w:marLeft w:val="0"/>
      <w:marRight w:val="0"/>
      <w:marTop w:val="0"/>
      <w:marBottom w:val="0"/>
      <w:divBdr>
        <w:top w:val="none" w:sz="0" w:space="0" w:color="auto"/>
        <w:left w:val="none" w:sz="0" w:space="0" w:color="auto"/>
        <w:bottom w:val="none" w:sz="0" w:space="0" w:color="auto"/>
        <w:right w:val="none" w:sz="0" w:space="0" w:color="auto"/>
      </w:divBdr>
    </w:div>
    <w:div w:id="803429653">
      <w:bodyDiv w:val="1"/>
      <w:marLeft w:val="0"/>
      <w:marRight w:val="0"/>
      <w:marTop w:val="0"/>
      <w:marBottom w:val="0"/>
      <w:divBdr>
        <w:top w:val="none" w:sz="0" w:space="0" w:color="auto"/>
        <w:left w:val="none" w:sz="0" w:space="0" w:color="auto"/>
        <w:bottom w:val="none" w:sz="0" w:space="0" w:color="auto"/>
        <w:right w:val="none" w:sz="0" w:space="0" w:color="auto"/>
      </w:divBdr>
    </w:div>
    <w:div w:id="853570986">
      <w:bodyDiv w:val="1"/>
      <w:marLeft w:val="0"/>
      <w:marRight w:val="0"/>
      <w:marTop w:val="0"/>
      <w:marBottom w:val="0"/>
      <w:divBdr>
        <w:top w:val="none" w:sz="0" w:space="0" w:color="auto"/>
        <w:left w:val="none" w:sz="0" w:space="0" w:color="auto"/>
        <w:bottom w:val="none" w:sz="0" w:space="0" w:color="auto"/>
        <w:right w:val="none" w:sz="0" w:space="0" w:color="auto"/>
      </w:divBdr>
    </w:div>
    <w:div w:id="857617139">
      <w:bodyDiv w:val="1"/>
      <w:marLeft w:val="0"/>
      <w:marRight w:val="0"/>
      <w:marTop w:val="0"/>
      <w:marBottom w:val="0"/>
      <w:divBdr>
        <w:top w:val="none" w:sz="0" w:space="0" w:color="auto"/>
        <w:left w:val="none" w:sz="0" w:space="0" w:color="auto"/>
        <w:bottom w:val="none" w:sz="0" w:space="0" w:color="auto"/>
        <w:right w:val="none" w:sz="0" w:space="0" w:color="auto"/>
      </w:divBdr>
    </w:div>
    <w:div w:id="870917510">
      <w:bodyDiv w:val="1"/>
      <w:marLeft w:val="0"/>
      <w:marRight w:val="0"/>
      <w:marTop w:val="0"/>
      <w:marBottom w:val="0"/>
      <w:divBdr>
        <w:top w:val="none" w:sz="0" w:space="0" w:color="auto"/>
        <w:left w:val="none" w:sz="0" w:space="0" w:color="auto"/>
        <w:bottom w:val="none" w:sz="0" w:space="0" w:color="auto"/>
        <w:right w:val="none" w:sz="0" w:space="0" w:color="auto"/>
      </w:divBdr>
    </w:div>
    <w:div w:id="927349730">
      <w:bodyDiv w:val="1"/>
      <w:marLeft w:val="0"/>
      <w:marRight w:val="0"/>
      <w:marTop w:val="0"/>
      <w:marBottom w:val="0"/>
      <w:divBdr>
        <w:top w:val="none" w:sz="0" w:space="0" w:color="auto"/>
        <w:left w:val="none" w:sz="0" w:space="0" w:color="auto"/>
        <w:bottom w:val="none" w:sz="0" w:space="0" w:color="auto"/>
        <w:right w:val="none" w:sz="0" w:space="0" w:color="auto"/>
      </w:divBdr>
      <w:divsChild>
        <w:div w:id="823592968">
          <w:marLeft w:val="0"/>
          <w:marRight w:val="0"/>
          <w:marTop w:val="0"/>
          <w:marBottom w:val="0"/>
          <w:divBdr>
            <w:top w:val="none" w:sz="0" w:space="0" w:color="auto"/>
            <w:left w:val="none" w:sz="0" w:space="0" w:color="auto"/>
            <w:bottom w:val="none" w:sz="0" w:space="0" w:color="auto"/>
            <w:right w:val="none" w:sz="0" w:space="0" w:color="auto"/>
          </w:divBdr>
          <w:divsChild>
            <w:div w:id="1961103989">
              <w:marLeft w:val="0"/>
              <w:marRight w:val="0"/>
              <w:marTop w:val="0"/>
              <w:marBottom w:val="0"/>
              <w:divBdr>
                <w:top w:val="none" w:sz="0" w:space="0" w:color="auto"/>
                <w:left w:val="none" w:sz="0" w:space="0" w:color="auto"/>
                <w:bottom w:val="none" w:sz="0" w:space="0" w:color="auto"/>
                <w:right w:val="none" w:sz="0" w:space="0" w:color="auto"/>
              </w:divBdr>
              <w:divsChild>
                <w:div w:id="2111122264">
                  <w:marLeft w:val="0"/>
                  <w:marRight w:val="0"/>
                  <w:marTop w:val="0"/>
                  <w:marBottom w:val="0"/>
                  <w:divBdr>
                    <w:top w:val="none" w:sz="0" w:space="0" w:color="auto"/>
                    <w:left w:val="none" w:sz="0" w:space="0" w:color="auto"/>
                    <w:bottom w:val="none" w:sz="0" w:space="0" w:color="auto"/>
                    <w:right w:val="none" w:sz="0" w:space="0" w:color="auto"/>
                  </w:divBdr>
                  <w:divsChild>
                    <w:div w:id="1416055333">
                      <w:marLeft w:val="0"/>
                      <w:marRight w:val="0"/>
                      <w:marTop w:val="0"/>
                      <w:marBottom w:val="0"/>
                      <w:divBdr>
                        <w:top w:val="none" w:sz="0" w:space="0" w:color="auto"/>
                        <w:left w:val="none" w:sz="0" w:space="0" w:color="auto"/>
                        <w:bottom w:val="none" w:sz="0" w:space="0" w:color="auto"/>
                        <w:right w:val="none" w:sz="0" w:space="0" w:color="auto"/>
                      </w:divBdr>
                      <w:divsChild>
                        <w:div w:id="1725564150">
                          <w:marLeft w:val="0"/>
                          <w:marRight w:val="0"/>
                          <w:marTop w:val="0"/>
                          <w:marBottom w:val="0"/>
                          <w:divBdr>
                            <w:top w:val="none" w:sz="0" w:space="0" w:color="auto"/>
                            <w:left w:val="none" w:sz="0" w:space="0" w:color="auto"/>
                            <w:bottom w:val="none" w:sz="0" w:space="0" w:color="auto"/>
                            <w:right w:val="none" w:sz="0" w:space="0" w:color="auto"/>
                          </w:divBdr>
                          <w:divsChild>
                            <w:div w:id="1168977706">
                              <w:marLeft w:val="0"/>
                              <w:marRight w:val="0"/>
                              <w:marTop w:val="0"/>
                              <w:marBottom w:val="0"/>
                              <w:divBdr>
                                <w:top w:val="none" w:sz="0" w:space="0" w:color="auto"/>
                                <w:left w:val="none" w:sz="0" w:space="0" w:color="auto"/>
                                <w:bottom w:val="none" w:sz="0" w:space="0" w:color="auto"/>
                                <w:right w:val="none" w:sz="0" w:space="0" w:color="auto"/>
                              </w:divBdr>
                              <w:divsChild>
                                <w:div w:id="1230732292">
                                  <w:marLeft w:val="0"/>
                                  <w:marRight w:val="0"/>
                                  <w:marTop w:val="0"/>
                                  <w:marBottom w:val="0"/>
                                  <w:divBdr>
                                    <w:top w:val="none" w:sz="0" w:space="0" w:color="auto"/>
                                    <w:left w:val="none" w:sz="0" w:space="0" w:color="auto"/>
                                    <w:bottom w:val="none" w:sz="0" w:space="0" w:color="auto"/>
                                    <w:right w:val="none" w:sz="0" w:space="0" w:color="auto"/>
                                  </w:divBdr>
                                  <w:divsChild>
                                    <w:div w:id="1970240289">
                                      <w:marLeft w:val="0"/>
                                      <w:marRight w:val="0"/>
                                      <w:marTop w:val="0"/>
                                      <w:marBottom w:val="0"/>
                                      <w:divBdr>
                                        <w:top w:val="none" w:sz="0" w:space="0" w:color="auto"/>
                                        <w:left w:val="none" w:sz="0" w:space="0" w:color="auto"/>
                                        <w:bottom w:val="none" w:sz="0" w:space="0" w:color="auto"/>
                                        <w:right w:val="none" w:sz="0" w:space="0" w:color="auto"/>
                                      </w:divBdr>
                                      <w:divsChild>
                                        <w:div w:id="124433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460135">
      <w:bodyDiv w:val="1"/>
      <w:marLeft w:val="0"/>
      <w:marRight w:val="0"/>
      <w:marTop w:val="0"/>
      <w:marBottom w:val="0"/>
      <w:divBdr>
        <w:top w:val="none" w:sz="0" w:space="0" w:color="auto"/>
        <w:left w:val="none" w:sz="0" w:space="0" w:color="auto"/>
        <w:bottom w:val="none" w:sz="0" w:space="0" w:color="auto"/>
        <w:right w:val="none" w:sz="0" w:space="0" w:color="auto"/>
      </w:divBdr>
    </w:div>
    <w:div w:id="974260298">
      <w:bodyDiv w:val="1"/>
      <w:marLeft w:val="0"/>
      <w:marRight w:val="0"/>
      <w:marTop w:val="0"/>
      <w:marBottom w:val="0"/>
      <w:divBdr>
        <w:top w:val="none" w:sz="0" w:space="0" w:color="auto"/>
        <w:left w:val="none" w:sz="0" w:space="0" w:color="auto"/>
        <w:bottom w:val="none" w:sz="0" w:space="0" w:color="auto"/>
        <w:right w:val="none" w:sz="0" w:space="0" w:color="auto"/>
      </w:divBdr>
    </w:div>
    <w:div w:id="975258085">
      <w:bodyDiv w:val="1"/>
      <w:marLeft w:val="0"/>
      <w:marRight w:val="0"/>
      <w:marTop w:val="0"/>
      <w:marBottom w:val="0"/>
      <w:divBdr>
        <w:top w:val="none" w:sz="0" w:space="0" w:color="auto"/>
        <w:left w:val="none" w:sz="0" w:space="0" w:color="auto"/>
        <w:bottom w:val="none" w:sz="0" w:space="0" w:color="auto"/>
        <w:right w:val="none" w:sz="0" w:space="0" w:color="auto"/>
      </w:divBdr>
    </w:div>
    <w:div w:id="993141011">
      <w:bodyDiv w:val="1"/>
      <w:marLeft w:val="0"/>
      <w:marRight w:val="0"/>
      <w:marTop w:val="0"/>
      <w:marBottom w:val="0"/>
      <w:divBdr>
        <w:top w:val="none" w:sz="0" w:space="0" w:color="auto"/>
        <w:left w:val="none" w:sz="0" w:space="0" w:color="auto"/>
        <w:bottom w:val="none" w:sz="0" w:space="0" w:color="auto"/>
        <w:right w:val="none" w:sz="0" w:space="0" w:color="auto"/>
      </w:divBdr>
    </w:div>
    <w:div w:id="994525765">
      <w:bodyDiv w:val="1"/>
      <w:marLeft w:val="0"/>
      <w:marRight w:val="0"/>
      <w:marTop w:val="0"/>
      <w:marBottom w:val="0"/>
      <w:divBdr>
        <w:top w:val="none" w:sz="0" w:space="0" w:color="auto"/>
        <w:left w:val="none" w:sz="0" w:space="0" w:color="auto"/>
        <w:bottom w:val="none" w:sz="0" w:space="0" w:color="auto"/>
        <w:right w:val="none" w:sz="0" w:space="0" w:color="auto"/>
      </w:divBdr>
    </w:div>
    <w:div w:id="1018506300">
      <w:bodyDiv w:val="1"/>
      <w:marLeft w:val="0"/>
      <w:marRight w:val="0"/>
      <w:marTop w:val="0"/>
      <w:marBottom w:val="0"/>
      <w:divBdr>
        <w:top w:val="none" w:sz="0" w:space="0" w:color="auto"/>
        <w:left w:val="none" w:sz="0" w:space="0" w:color="auto"/>
        <w:bottom w:val="none" w:sz="0" w:space="0" w:color="auto"/>
        <w:right w:val="none" w:sz="0" w:space="0" w:color="auto"/>
      </w:divBdr>
    </w:div>
    <w:div w:id="1028262343">
      <w:bodyDiv w:val="1"/>
      <w:marLeft w:val="0"/>
      <w:marRight w:val="0"/>
      <w:marTop w:val="0"/>
      <w:marBottom w:val="0"/>
      <w:divBdr>
        <w:top w:val="none" w:sz="0" w:space="0" w:color="auto"/>
        <w:left w:val="none" w:sz="0" w:space="0" w:color="auto"/>
        <w:bottom w:val="none" w:sz="0" w:space="0" w:color="auto"/>
        <w:right w:val="none" w:sz="0" w:space="0" w:color="auto"/>
      </w:divBdr>
    </w:div>
    <w:div w:id="1041826253">
      <w:bodyDiv w:val="1"/>
      <w:marLeft w:val="0"/>
      <w:marRight w:val="0"/>
      <w:marTop w:val="0"/>
      <w:marBottom w:val="0"/>
      <w:divBdr>
        <w:top w:val="none" w:sz="0" w:space="0" w:color="auto"/>
        <w:left w:val="none" w:sz="0" w:space="0" w:color="auto"/>
        <w:bottom w:val="none" w:sz="0" w:space="0" w:color="auto"/>
        <w:right w:val="none" w:sz="0" w:space="0" w:color="auto"/>
      </w:divBdr>
    </w:div>
    <w:div w:id="1045255680">
      <w:bodyDiv w:val="1"/>
      <w:marLeft w:val="0"/>
      <w:marRight w:val="0"/>
      <w:marTop w:val="0"/>
      <w:marBottom w:val="0"/>
      <w:divBdr>
        <w:top w:val="none" w:sz="0" w:space="0" w:color="auto"/>
        <w:left w:val="none" w:sz="0" w:space="0" w:color="auto"/>
        <w:bottom w:val="none" w:sz="0" w:space="0" w:color="auto"/>
        <w:right w:val="none" w:sz="0" w:space="0" w:color="auto"/>
      </w:divBdr>
    </w:div>
    <w:div w:id="1056320598">
      <w:bodyDiv w:val="1"/>
      <w:marLeft w:val="0"/>
      <w:marRight w:val="0"/>
      <w:marTop w:val="0"/>
      <w:marBottom w:val="0"/>
      <w:divBdr>
        <w:top w:val="none" w:sz="0" w:space="0" w:color="auto"/>
        <w:left w:val="none" w:sz="0" w:space="0" w:color="auto"/>
        <w:bottom w:val="none" w:sz="0" w:space="0" w:color="auto"/>
        <w:right w:val="none" w:sz="0" w:space="0" w:color="auto"/>
      </w:divBdr>
      <w:divsChild>
        <w:div w:id="636837506">
          <w:marLeft w:val="0"/>
          <w:marRight w:val="0"/>
          <w:marTop w:val="0"/>
          <w:marBottom w:val="0"/>
          <w:divBdr>
            <w:top w:val="none" w:sz="0" w:space="0" w:color="auto"/>
            <w:left w:val="none" w:sz="0" w:space="0" w:color="auto"/>
            <w:bottom w:val="none" w:sz="0" w:space="0" w:color="auto"/>
            <w:right w:val="none" w:sz="0" w:space="0" w:color="auto"/>
          </w:divBdr>
        </w:div>
        <w:div w:id="1207066728">
          <w:marLeft w:val="0"/>
          <w:marRight w:val="0"/>
          <w:marTop w:val="0"/>
          <w:marBottom w:val="0"/>
          <w:divBdr>
            <w:top w:val="none" w:sz="0" w:space="0" w:color="auto"/>
            <w:left w:val="none" w:sz="0" w:space="0" w:color="auto"/>
            <w:bottom w:val="none" w:sz="0" w:space="0" w:color="auto"/>
            <w:right w:val="none" w:sz="0" w:space="0" w:color="auto"/>
          </w:divBdr>
        </w:div>
      </w:divsChild>
    </w:div>
    <w:div w:id="1073429298">
      <w:bodyDiv w:val="1"/>
      <w:marLeft w:val="0"/>
      <w:marRight w:val="0"/>
      <w:marTop w:val="0"/>
      <w:marBottom w:val="0"/>
      <w:divBdr>
        <w:top w:val="none" w:sz="0" w:space="0" w:color="auto"/>
        <w:left w:val="none" w:sz="0" w:space="0" w:color="auto"/>
        <w:bottom w:val="none" w:sz="0" w:space="0" w:color="auto"/>
        <w:right w:val="none" w:sz="0" w:space="0" w:color="auto"/>
      </w:divBdr>
    </w:div>
    <w:div w:id="1078938229">
      <w:bodyDiv w:val="1"/>
      <w:marLeft w:val="0"/>
      <w:marRight w:val="0"/>
      <w:marTop w:val="0"/>
      <w:marBottom w:val="0"/>
      <w:divBdr>
        <w:top w:val="none" w:sz="0" w:space="0" w:color="auto"/>
        <w:left w:val="none" w:sz="0" w:space="0" w:color="auto"/>
        <w:bottom w:val="none" w:sz="0" w:space="0" w:color="auto"/>
        <w:right w:val="none" w:sz="0" w:space="0" w:color="auto"/>
      </w:divBdr>
    </w:div>
    <w:div w:id="1098866082">
      <w:bodyDiv w:val="1"/>
      <w:marLeft w:val="0"/>
      <w:marRight w:val="0"/>
      <w:marTop w:val="0"/>
      <w:marBottom w:val="0"/>
      <w:divBdr>
        <w:top w:val="none" w:sz="0" w:space="0" w:color="auto"/>
        <w:left w:val="none" w:sz="0" w:space="0" w:color="auto"/>
        <w:bottom w:val="none" w:sz="0" w:space="0" w:color="auto"/>
        <w:right w:val="none" w:sz="0" w:space="0" w:color="auto"/>
      </w:divBdr>
    </w:div>
    <w:div w:id="1105270013">
      <w:bodyDiv w:val="1"/>
      <w:marLeft w:val="0"/>
      <w:marRight w:val="0"/>
      <w:marTop w:val="0"/>
      <w:marBottom w:val="0"/>
      <w:divBdr>
        <w:top w:val="none" w:sz="0" w:space="0" w:color="auto"/>
        <w:left w:val="none" w:sz="0" w:space="0" w:color="auto"/>
        <w:bottom w:val="none" w:sz="0" w:space="0" w:color="auto"/>
        <w:right w:val="none" w:sz="0" w:space="0" w:color="auto"/>
      </w:divBdr>
    </w:div>
    <w:div w:id="1143229986">
      <w:bodyDiv w:val="1"/>
      <w:marLeft w:val="0"/>
      <w:marRight w:val="0"/>
      <w:marTop w:val="0"/>
      <w:marBottom w:val="0"/>
      <w:divBdr>
        <w:top w:val="none" w:sz="0" w:space="0" w:color="auto"/>
        <w:left w:val="none" w:sz="0" w:space="0" w:color="auto"/>
        <w:bottom w:val="none" w:sz="0" w:space="0" w:color="auto"/>
        <w:right w:val="none" w:sz="0" w:space="0" w:color="auto"/>
      </w:divBdr>
    </w:div>
    <w:div w:id="1223904524">
      <w:marLeft w:val="0"/>
      <w:marRight w:val="0"/>
      <w:marTop w:val="0"/>
      <w:marBottom w:val="0"/>
      <w:divBdr>
        <w:top w:val="none" w:sz="0" w:space="0" w:color="auto"/>
        <w:left w:val="none" w:sz="0" w:space="0" w:color="auto"/>
        <w:bottom w:val="none" w:sz="0" w:space="0" w:color="auto"/>
        <w:right w:val="none" w:sz="0" w:space="0" w:color="auto"/>
      </w:divBdr>
    </w:div>
    <w:div w:id="1228296459">
      <w:bodyDiv w:val="1"/>
      <w:marLeft w:val="0"/>
      <w:marRight w:val="0"/>
      <w:marTop w:val="0"/>
      <w:marBottom w:val="0"/>
      <w:divBdr>
        <w:top w:val="none" w:sz="0" w:space="0" w:color="auto"/>
        <w:left w:val="none" w:sz="0" w:space="0" w:color="auto"/>
        <w:bottom w:val="none" w:sz="0" w:space="0" w:color="auto"/>
        <w:right w:val="none" w:sz="0" w:space="0" w:color="auto"/>
      </w:divBdr>
    </w:div>
    <w:div w:id="1271011497">
      <w:bodyDiv w:val="1"/>
      <w:marLeft w:val="0"/>
      <w:marRight w:val="0"/>
      <w:marTop w:val="0"/>
      <w:marBottom w:val="0"/>
      <w:divBdr>
        <w:top w:val="none" w:sz="0" w:space="0" w:color="auto"/>
        <w:left w:val="none" w:sz="0" w:space="0" w:color="auto"/>
        <w:bottom w:val="none" w:sz="0" w:space="0" w:color="auto"/>
        <w:right w:val="none" w:sz="0" w:space="0" w:color="auto"/>
      </w:divBdr>
    </w:div>
    <w:div w:id="1279414926">
      <w:bodyDiv w:val="1"/>
      <w:marLeft w:val="0"/>
      <w:marRight w:val="0"/>
      <w:marTop w:val="0"/>
      <w:marBottom w:val="0"/>
      <w:divBdr>
        <w:top w:val="none" w:sz="0" w:space="0" w:color="auto"/>
        <w:left w:val="none" w:sz="0" w:space="0" w:color="auto"/>
        <w:bottom w:val="none" w:sz="0" w:space="0" w:color="auto"/>
        <w:right w:val="none" w:sz="0" w:space="0" w:color="auto"/>
      </w:divBdr>
    </w:div>
    <w:div w:id="1308363277">
      <w:bodyDiv w:val="1"/>
      <w:marLeft w:val="0"/>
      <w:marRight w:val="0"/>
      <w:marTop w:val="0"/>
      <w:marBottom w:val="0"/>
      <w:divBdr>
        <w:top w:val="none" w:sz="0" w:space="0" w:color="auto"/>
        <w:left w:val="none" w:sz="0" w:space="0" w:color="auto"/>
        <w:bottom w:val="none" w:sz="0" w:space="0" w:color="auto"/>
        <w:right w:val="none" w:sz="0" w:space="0" w:color="auto"/>
      </w:divBdr>
    </w:div>
    <w:div w:id="1344891924">
      <w:bodyDiv w:val="1"/>
      <w:marLeft w:val="0"/>
      <w:marRight w:val="0"/>
      <w:marTop w:val="0"/>
      <w:marBottom w:val="0"/>
      <w:divBdr>
        <w:top w:val="none" w:sz="0" w:space="0" w:color="auto"/>
        <w:left w:val="none" w:sz="0" w:space="0" w:color="auto"/>
        <w:bottom w:val="none" w:sz="0" w:space="0" w:color="auto"/>
        <w:right w:val="none" w:sz="0" w:space="0" w:color="auto"/>
      </w:divBdr>
    </w:div>
    <w:div w:id="1353191458">
      <w:bodyDiv w:val="1"/>
      <w:marLeft w:val="0"/>
      <w:marRight w:val="0"/>
      <w:marTop w:val="0"/>
      <w:marBottom w:val="0"/>
      <w:divBdr>
        <w:top w:val="none" w:sz="0" w:space="0" w:color="auto"/>
        <w:left w:val="none" w:sz="0" w:space="0" w:color="auto"/>
        <w:bottom w:val="none" w:sz="0" w:space="0" w:color="auto"/>
        <w:right w:val="none" w:sz="0" w:space="0" w:color="auto"/>
      </w:divBdr>
    </w:div>
    <w:div w:id="1355039083">
      <w:bodyDiv w:val="1"/>
      <w:marLeft w:val="0"/>
      <w:marRight w:val="0"/>
      <w:marTop w:val="0"/>
      <w:marBottom w:val="0"/>
      <w:divBdr>
        <w:top w:val="none" w:sz="0" w:space="0" w:color="auto"/>
        <w:left w:val="none" w:sz="0" w:space="0" w:color="auto"/>
        <w:bottom w:val="none" w:sz="0" w:space="0" w:color="auto"/>
        <w:right w:val="none" w:sz="0" w:space="0" w:color="auto"/>
      </w:divBdr>
    </w:div>
    <w:div w:id="1427192352">
      <w:bodyDiv w:val="1"/>
      <w:marLeft w:val="0"/>
      <w:marRight w:val="0"/>
      <w:marTop w:val="0"/>
      <w:marBottom w:val="0"/>
      <w:divBdr>
        <w:top w:val="none" w:sz="0" w:space="0" w:color="auto"/>
        <w:left w:val="none" w:sz="0" w:space="0" w:color="auto"/>
        <w:bottom w:val="none" w:sz="0" w:space="0" w:color="auto"/>
        <w:right w:val="none" w:sz="0" w:space="0" w:color="auto"/>
      </w:divBdr>
    </w:div>
    <w:div w:id="1470630579">
      <w:bodyDiv w:val="1"/>
      <w:marLeft w:val="0"/>
      <w:marRight w:val="0"/>
      <w:marTop w:val="0"/>
      <w:marBottom w:val="0"/>
      <w:divBdr>
        <w:top w:val="none" w:sz="0" w:space="0" w:color="auto"/>
        <w:left w:val="none" w:sz="0" w:space="0" w:color="auto"/>
        <w:bottom w:val="none" w:sz="0" w:space="0" w:color="auto"/>
        <w:right w:val="none" w:sz="0" w:space="0" w:color="auto"/>
      </w:divBdr>
    </w:div>
    <w:div w:id="1484397599">
      <w:bodyDiv w:val="1"/>
      <w:marLeft w:val="0"/>
      <w:marRight w:val="0"/>
      <w:marTop w:val="0"/>
      <w:marBottom w:val="0"/>
      <w:divBdr>
        <w:top w:val="none" w:sz="0" w:space="0" w:color="auto"/>
        <w:left w:val="none" w:sz="0" w:space="0" w:color="auto"/>
        <w:bottom w:val="none" w:sz="0" w:space="0" w:color="auto"/>
        <w:right w:val="none" w:sz="0" w:space="0" w:color="auto"/>
      </w:divBdr>
    </w:div>
    <w:div w:id="1521092482">
      <w:bodyDiv w:val="1"/>
      <w:marLeft w:val="0"/>
      <w:marRight w:val="0"/>
      <w:marTop w:val="0"/>
      <w:marBottom w:val="0"/>
      <w:divBdr>
        <w:top w:val="none" w:sz="0" w:space="0" w:color="auto"/>
        <w:left w:val="none" w:sz="0" w:space="0" w:color="auto"/>
        <w:bottom w:val="none" w:sz="0" w:space="0" w:color="auto"/>
        <w:right w:val="none" w:sz="0" w:space="0" w:color="auto"/>
      </w:divBdr>
    </w:div>
    <w:div w:id="1523781644">
      <w:bodyDiv w:val="1"/>
      <w:marLeft w:val="0"/>
      <w:marRight w:val="0"/>
      <w:marTop w:val="0"/>
      <w:marBottom w:val="0"/>
      <w:divBdr>
        <w:top w:val="none" w:sz="0" w:space="0" w:color="auto"/>
        <w:left w:val="none" w:sz="0" w:space="0" w:color="auto"/>
        <w:bottom w:val="none" w:sz="0" w:space="0" w:color="auto"/>
        <w:right w:val="none" w:sz="0" w:space="0" w:color="auto"/>
      </w:divBdr>
    </w:div>
    <w:div w:id="1526483451">
      <w:bodyDiv w:val="1"/>
      <w:marLeft w:val="0"/>
      <w:marRight w:val="0"/>
      <w:marTop w:val="0"/>
      <w:marBottom w:val="0"/>
      <w:divBdr>
        <w:top w:val="none" w:sz="0" w:space="0" w:color="auto"/>
        <w:left w:val="none" w:sz="0" w:space="0" w:color="auto"/>
        <w:bottom w:val="none" w:sz="0" w:space="0" w:color="auto"/>
        <w:right w:val="none" w:sz="0" w:space="0" w:color="auto"/>
      </w:divBdr>
    </w:div>
    <w:div w:id="1529832716">
      <w:bodyDiv w:val="1"/>
      <w:marLeft w:val="0"/>
      <w:marRight w:val="0"/>
      <w:marTop w:val="0"/>
      <w:marBottom w:val="0"/>
      <w:divBdr>
        <w:top w:val="none" w:sz="0" w:space="0" w:color="auto"/>
        <w:left w:val="none" w:sz="0" w:space="0" w:color="auto"/>
        <w:bottom w:val="none" w:sz="0" w:space="0" w:color="auto"/>
        <w:right w:val="none" w:sz="0" w:space="0" w:color="auto"/>
      </w:divBdr>
    </w:div>
    <w:div w:id="1541627888">
      <w:bodyDiv w:val="1"/>
      <w:marLeft w:val="0"/>
      <w:marRight w:val="0"/>
      <w:marTop w:val="0"/>
      <w:marBottom w:val="0"/>
      <w:divBdr>
        <w:top w:val="none" w:sz="0" w:space="0" w:color="auto"/>
        <w:left w:val="none" w:sz="0" w:space="0" w:color="auto"/>
        <w:bottom w:val="none" w:sz="0" w:space="0" w:color="auto"/>
        <w:right w:val="none" w:sz="0" w:space="0" w:color="auto"/>
      </w:divBdr>
    </w:div>
    <w:div w:id="1563325091">
      <w:bodyDiv w:val="1"/>
      <w:marLeft w:val="0"/>
      <w:marRight w:val="0"/>
      <w:marTop w:val="0"/>
      <w:marBottom w:val="0"/>
      <w:divBdr>
        <w:top w:val="none" w:sz="0" w:space="0" w:color="auto"/>
        <w:left w:val="none" w:sz="0" w:space="0" w:color="auto"/>
        <w:bottom w:val="none" w:sz="0" w:space="0" w:color="auto"/>
        <w:right w:val="none" w:sz="0" w:space="0" w:color="auto"/>
      </w:divBdr>
      <w:divsChild>
        <w:div w:id="155851987">
          <w:marLeft w:val="0"/>
          <w:marRight w:val="0"/>
          <w:marTop w:val="0"/>
          <w:marBottom w:val="0"/>
          <w:divBdr>
            <w:top w:val="none" w:sz="0" w:space="0" w:color="auto"/>
            <w:left w:val="none" w:sz="0" w:space="0" w:color="auto"/>
            <w:bottom w:val="none" w:sz="0" w:space="0" w:color="auto"/>
            <w:right w:val="none" w:sz="0" w:space="0" w:color="auto"/>
          </w:divBdr>
          <w:divsChild>
            <w:div w:id="208760229">
              <w:marLeft w:val="0"/>
              <w:marRight w:val="0"/>
              <w:marTop w:val="0"/>
              <w:marBottom w:val="0"/>
              <w:divBdr>
                <w:top w:val="none" w:sz="0" w:space="0" w:color="auto"/>
                <w:left w:val="none" w:sz="0" w:space="0" w:color="auto"/>
                <w:bottom w:val="none" w:sz="0" w:space="0" w:color="auto"/>
                <w:right w:val="none" w:sz="0" w:space="0" w:color="auto"/>
              </w:divBdr>
              <w:divsChild>
                <w:div w:id="1471167422">
                  <w:marLeft w:val="0"/>
                  <w:marRight w:val="0"/>
                  <w:marTop w:val="0"/>
                  <w:marBottom w:val="0"/>
                  <w:divBdr>
                    <w:top w:val="none" w:sz="0" w:space="0" w:color="auto"/>
                    <w:left w:val="none" w:sz="0" w:space="0" w:color="auto"/>
                    <w:bottom w:val="none" w:sz="0" w:space="0" w:color="auto"/>
                    <w:right w:val="none" w:sz="0" w:space="0" w:color="auto"/>
                  </w:divBdr>
                  <w:divsChild>
                    <w:div w:id="130831612">
                      <w:marLeft w:val="60"/>
                      <w:marRight w:val="0"/>
                      <w:marTop w:val="2025"/>
                      <w:marBottom w:val="0"/>
                      <w:divBdr>
                        <w:top w:val="none" w:sz="0" w:space="0" w:color="auto"/>
                        <w:left w:val="none" w:sz="0" w:space="0" w:color="auto"/>
                        <w:bottom w:val="none" w:sz="0" w:space="0" w:color="auto"/>
                        <w:right w:val="none" w:sz="0" w:space="0" w:color="auto"/>
                      </w:divBdr>
                      <w:divsChild>
                        <w:div w:id="2070179094">
                          <w:marLeft w:val="0"/>
                          <w:marRight w:val="0"/>
                          <w:marTop w:val="0"/>
                          <w:marBottom w:val="0"/>
                          <w:divBdr>
                            <w:top w:val="none" w:sz="0" w:space="0" w:color="auto"/>
                            <w:left w:val="none" w:sz="0" w:space="0" w:color="auto"/>
                            <w:bottom w:val="none" w:sz="0" w:space="0" w:color="auto"/>
                            <w:right w:val="none" w:sz="0" w:space="0" w:color="auto"/>
                          </w:divBdr>
                          <w:divsChild>
                            <w:div w:id="1137793247">
                              <w:marLeft w:val="0"/>
                              <w:marRight w:val="0"/>
                              <w:marTop w:val="0"/>
                              <w:marBottom w:val="0"/>
                              <w:divBdr>
                                <w:top w:val="none" w:sz="0" w:space="0" w:color="auto"/>
                                <w:left w:val="none" w:sz="0" w:space="0" w:color="auto"/>
                                <w:bottom w:val="none" w:sz="0" w:space="0" w:color="auto"/>
                                <w:right w:val="none" w:sz="0" w:space="0" w:color="auto"/>
                              </w:divBdr>
                              <w:divsChild>
                                <w:div w:id="63333802">
                                  <w:marLeft w:val="0"/>
                                  <w:marRight w:val="0"/>
                                  <w:marTop w:val="0"/>
                                  <w:marBottom w:val="0"/>
                                  <w:divBdr>
                                    <w:top w:val="none" w:sz="0" w:space="0" w:color="auto"/>
                                    <w:left w:val="none" w:sz="0" w:space="0" w:color="auto"/>
                                    <w:bottom w:val="none" w:sz="0" w:space="0" w:color="auto"/>
                                    <w:right w:val="none" w:sz="0" w:space="0" w:color="auto"/>
                                  </w:divBdr>
                                  <w:divsChild>
                                    <w:div w:id="1936280508">
                                      <w:marLeft w:val="0"/>
                                      <w:marRight w:val="0"/>
                                      <w:marTop w:val="0"/>
                                      <w:marBottom w:val="0"/>
                                      <w:divBdr>
                                        <w:top w:val="none" w:sz="0" w:space="0" w:color="auto"/>
                                        <w:left w:val="none" w:sz="0" w:space="0" w:color="auto"/>
                                        <w:bottom w:val="none" w:sz="0" w:space="0" w:color="auto"/>
                                        <w:right w:val="none" w:sz="0" w:space="0" w:color="auto"/>
                                      </w:divBdr>
                                      <w:divsChild>
                                        <w:div w:id="189157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5601666">
      <w:bodyDiv w:val="1"/>
      <w:marLeft w:val="0"/>
      <w:marRight w:val="0"/>
      <w:marTop w:val="0"/>
      <w:marBottom w:val="0"/>
      <w:divBdr>
        <w:top w:val="none" w:sz="0" w:space="0" w:color="auto"/>
        <w:left w:val="none" w:sz="0" w:space="0" w:color="auto"/>
        <w:bottom w:val="none" w:sz="0" w:space="0" w:color="auto"/>
        <w:right w:val="none" w:sz="0" w:space="0" w:color="auto"/>
      </w:divBdr>
    </w:div>
    <w:div w:id="1594242290">
      <w:marLeft w:val="0"/>
      <w:marRight w:val="0"/>
      <w:marTop w:val="0"/>
      <w:marBottom w:val="0"/>
      <w:divBdr>
        <w:top w:val="none" w:sz="0" w:space="0" w:color="auto"/>
        <w:left w:val="none" w:sz="0" w:space="0" w:color="auto"/>
        <w:bottom w:val="none" w:sz="0" w:space="0" w:color="auto"/>
        <w:right w:val="none" w:sz="0" w:space="0" w:color="auto"/>
      </w:divBdr>
    </w:div>
    <w:div w:id="1597982053">
      <w:bodyDiv w:val="1"/>
      <w:marLeft w:val="0"/>
      <w:marRight w:val="0"/>
      <w:marTop w:val="0"/>
      <w:marBottom w:val="0"/>
      <w:divBdr>
        <w:top w:val="none" w:sz="0" w:space="0" w:color="auto"/>
        <w:left w:val="none" w:sz="0" w:space="0" w:color="auto"/>
        <w:bottom w:val="none" w:sz="0" w:space="0" w:color="auto"/>
        <w:right w:val="none" w:sz="0" w:space="0" w:color="auto"/>
      </w:divBdr>
    </w:div>
    <w:div w:id="1654216238">
      <w:bodyDiv w:val="1"/>
      <w:marLeft w:val="0"/>
      <w:marRight w:val="0"/>
      <w:marTop w:val="0"/>
      <w:marBottom w:val="0"/>
      <w:divBdr>
        <w:top w:val="none" w:sz="0" w:space="0" w:color="auto"/>
        <w:left w:val="none" w:sz="0" w:space="0" w:color="auto"/>
        <w:bottom w:val="none" w:sz="0" w:space="0" w:color="auto"/>
        <w:right w:val="none" w:sz="0" w:space="0" w:color="auto"/>
      </w:divBdr>
    </w:div>
    <w:div w:id="1662194900">
      <w:bodyDiv w:val="1"/>
      <w:marLeft w:val="0"/>
      <w:marRight w:val="0"/>
      <w:marTop w:val="0"/>
      <w:marBottom w:val="0"/>
      <w:divBdr>
        <w:top w:val="none" w:sz="0" w:space="0" w:color="auto"/>
        <w:left w:val="none" w:sz="0" w:space="0" w:color="auto"/>
        <w:bottom w:val="none" w:sz="0" w:space="0" w:color="auto"/>
        <w:right w:val="none" w:sz="0" w:space="0" w:color="auto"/>
      </w:divBdr>
    </w:div>
    <w:div w:id="1699887325">
      <w:bodyDiv w:val="1"/>
      <w:marLeft w:val="0"/>
      <w:marRight w:val="0"/>
      <w:marTop w:val="0"/>
      <w:marBottom w:val="0"/>
      <w:divBdr>
        <w:top w:val="none" w:sz="0" w:space="0" w:color="auto"/>
        <w:left w:val="none" w:sz="0" w:space="0" w:color="auto"/>
        <w:bottom w:val="none" w:sz="0" w:space="0" w:color="auto"/>
        <w:right w:val="none" w:sz="0" w:space="0" w:color="auto"/>
      </w:divBdr>
    </w:div>
    <w:div w:id="1702121526">
      <w:bodyDiv w:val="1"/>
      <w:marLeft w:val="0"/>
      <w:marRight w:val="0"/>
      <w:marTop w:val="0"/>
      <w:marBottom w:val="0"/>
      <w:divBdr>
        <w:top w:val="none" w:sz="0" w:space="0" w:color="auto"/>
        <w:left w:val="none" w:sz="0" w:space="0" w:color="auto"/>
        <w:bottom w:val="none" w:sz="0" w:space="0" w:color="auto"/>
        <w:right w:val="none" w:sz="0" w:space="0" w:color="auto"/>
      </w:divBdr>
    </w:div>
    <w:div w:id="1720736946">
      <w:bodyDiv w:val="1"/>
      <w:marLeft w:val="0"/>
      <w:marRight w:val="0"/>
      <w:marTop w:val="0"/>
      <w:marBottom w:val="0"/>
      <w:divBdr>
        <w:top w:val="none" w:sz="0" w:space="0" w:color="auto"/>
        <w:left w:val="none" w:sz="0" w:space="0" w:color="auto"/>
        <w:bottom w:val="none" w:sz="0" w:space="0" w:color="auto"/>
        <w:right w:val="none" w:sz="0" w:space="0" w:color="auto"/>
      </w:divBdr>
    </w:div>
    <w:div w:id="1743141376">
      <w:bodyDiv w:val="1"/>
      <w:marLeft w:val="0"/>
      <w:marRight w:val="0"/>
      <w:marTop w:val="0"/>
      <w:marBottom w:val="0"/>
      <w:divBdr>
        <w:top w:val="none" w:sz="0" w:space="0" w:color="auto"/>
        <w:left w:val="none" w:sz="0" w:space="0" w:color="auto"/>
        <w:bottom w:val="none" w:sz="0" w:space="0" w:color="auto"/>
        <w:right w:val="none" w:sz="0" w:space="0" w:color="auto"/>
      </w:divBdr>
    </w:div>
    <w:div w:id="1774129989">
      <w:bodyDiv w:val="1"/>
      <w:marLeft w:val="0"/>
      <w:marRight w:val="0"/>
      <w:marTop w:val="0"/>
      <w:marBottom w:val="0"/>
      <w:divBdr>
        <w:top w:val="none" w:sz="0" w:space="0" w:color="auto"/>
        <w:left w:val="none" w:sz="0" w:space="0" w:color="auto"/>
        <w:bottom w:val="none" w:sz="0" w:space="0" w:color="auto"/>
        <w:right w:val="none" w:sz="0" w:space="0" w:color="auto"/>
      </w:divBdr>
    </w:div>
    <w:div w:id="1775662833">
      <w:bodyDiv w:val="1"/>
      <w:marLeft w:val="0"/>
      <w:marRight w:val="0"/>
      <w:marTop w:val="0"/>
      <w:marBottom w:val="0"/>
      <w:divBdr>
        <w:top w:val="none" w:sz="0" w:space="0" w:color="auto"/>
        <w:left w:val="none" w:sz="0" w:space="0" w:color="auto"/>
        <w:bottom w:val="none" w:sz="0" w:space="0" w:color="auto"/>
        <w:right w:val="none" w:sz="0" w:space="0" w:color="auto"/>
      </w:divBdr>
    </w:div>
    <w:div w:id="1840928701">
      <w:bodyDiv w:val="1"/>
      <w:marLeft w:val="0"/>
      <w:marRight w:val="0"/>
      <w:marTop w:val="0"/>
      <w:marBottom w:val="0"/>
      <w:divBdr>
        <w:top w:val="none" w:sz="0" w:space="0" w:color="auto"/>
        <w:left w:val="none" w:sz="0" w:space="0" w:color="auto"/>
        <w:bottom w:val="none" w:sz="0" w:space="0" w:color="auto"/>
        <w:right w:val="none" w:sz="0" w:space="0" w:color="auto"/>
      </w:divBdr>
    </w:div>
    <w:div w:id="1874807691">
      <w:bodyDiv w:val="1"/>
      <w:marLeft w:val="0"/>
      <w:marRight w:val="0"/>
      <w:marTop w:val="0"/>
      <w:marBottom w:val="0"/>
      <w:divBdr>
        <w:top w:val="none" w:sz="0" w:space="0" w:color="auto"/>
        <w:left w:val="none" w:sz="0" w:space="0" w:color="auto"/>
        <w:bottom w:val="none" w:sz="0" w:space="0" w:color="auto"/>
        <w:right w:val="none" w:sz="0" w:space="0" w:color="auto"/>
      </w:divBdr>
    </w:div>
    <w:div w:id="1885562779">
      <w:bodyDiv w:val="1"/>
      <w:marLeft w:val="0"/>
      <w:marRight w:val="0"/>
      <w:marTop w:val="0"/>
      <w:marBottom w:val="0"/>
      <w:divBdr>
        <w:top w:val="none" w:sz="0" w:space="0" w:color="auto"/>
        <w:left w:val="none" w:sz="0" w:space="0" w:color="auto"/>
        <w:bottom w:val="none" w:sz="0" w:space="0" w:color="auto"/>
        <w:right w:val="none" w:sz="0" w:space="0" w:color="auto"/>
      </w:divBdr>
    </w:div>
    <w:div w:id="1905068410">
      <w:bodyDiv w:val="1"/>
      <w:marLeft w:val="0"/>
      <w:marRight w:val="0"/>
      <w:marTop w:val="0"/>
      <w:marBottom w:val="0"/>
      <w:divBdr>
        <w:top w:val="none" w:sz="0" w:space="0" w:color="auto"/>
        <w:left w:val="none" w:sz="0" w:space="0" w:color="auto"/>
        <w:bottom w:val="none" w:sz="0" w:space="0" w:color="auto"/>
        <w:right w:val="none" w:sz="0" w:space="0" w:color="auto"/>
      </w:divBdr>
    </w:div>
    <w:div w:id="1918512053">
      <w:bodyDiv w:val="1"/>
      <w:marLeft w:val="0"/>
      <w:marRight w:val="0"/>
      <w:marTop w:val="0"/>
      <w:marBottom w:val="0"/>
      <w:divBdr>
        <w:top w:val="none" w:sz="0" w:space="0" w:color="auto"/>
        <w:left w:val="none" w:sz="0" w:space="0" w:color="auto"/>
        <w:bottom w:val="none" w:sz="0" w:space="0" w:color="auto"/>
        <w:right w:val="none" w:sz="0" w:space="0" w:color="auto"/>
      </w:divBdr>
    </w:div>
    <w:div w:id="1922107403">
      <w:bodyDiv w:val="1"/>
      <w:marLeft w:val="0"/>
      <w:marRight w:val="0"/>
      <w:marTop w:val="0"/>
      <w:marBottom w:val="0"/>
      <w:divBdr>
        <w:top w:val="none" w:sz="0" w:space="0" w:color="auto"/>
        <w:left w:val="none" w:sz="0" w:space="0" w:color="auto"/>
        <w:bottom w:val="none" w:sz="0" w:space="0" w:color="auto"/>
        <w:right w:val="none" w:sz="0" w:space="0" w:color="auto"/>
      </w:divBdr>
    </w:div>
    <w:div w:id="1938054536">
      <w:bodyDiv w:val="1"/>
      <w:marLeft w:val="0"/>
      <w:marRight w:val="0"/>
      <w:marTop w:val="0"/>
      <w:marBottom w:val="0"/>
      <w:divBdr>
        <w:top w:val="none" w:sz="0" w:space="0" w:color="auto"/>
        <w:left w:val="none" w:sz="0" w:space="0" w:color="auto"/>
        <w:bottom w:val="none" w:sz="0" w:space="0" w:color="auto"/>
        <w:right w:val="none" w:sz="0" w:space="0" w:color="auto"/>
      </w:divBdr>
    </w:div>
    <w:div w:id="1999729969">
      <w:bodyDiv w:val="1"/>
      <w:marLeft w:val="0"/>
      <w:marRight w:val="0"/>
      <w:marTop w:val="0"/>
      <w:marBottom w:val="0"/>
      <w:divBdr>
        <w:top w:val="none" w:sz="0" w:space="0" w:color="auto"/>
        <w:left w:val="none" w:sz="0" w:space="0" w:color="auto"/>
        <w:bottom w:val="none" w:sz="0" w:space="0" w:color="auto"/>
        <w:right w:val="none" w:sz="0" w:space="0" w:color="auto"/>
      </w:divBdr>
    </w:div>
    <w:div w:id="2004041378">
      <w:bodyDiv w:val="1"/>
      <w:marLeft w:val="0"/>
      <w:marRight w:val="0"/>
      <w:marTop w:val="0"/>
      <w:marBottom w:val="0"/>
      <w:divBdr>
        <w:top w:val="none" w:sz="0" w:space="0" w:color="auto"/>
        <w:left w:val="none" w:sz="0" w:space="0" w:color="auto"/>
        <w:bottom w:val="none" w:sz="0" w:space="0" w:color="auto"/>
        <w:right w:val="none" w:sz="0" w:space="0" w:color="auto"/>
      </w:divBdr>
    </w:div>
    <w:div w:id="2046060430">
      <w:bodyDiv w:val="1"/>
      <w:marLeft w:val="0"/>
      <w:marRight w:val="0"/>
      <w:marTop w:val="0"/>
      <w:marBottom w:val="0"/>
      <w:divBdr>
        <w:top w:val="none" w:sz="0" w:space="0" w:color="auto"/>
        <w:left w:val="none" w:sz="0" w:space="0" w:color="auto"/>
        <w:bottom w:val="none" w:sz="0" w:space="0" w:color="auto"/>
        <w:right w:val="none" w:sz="0" w:space="0" w:color="auto"/>
      </w:divBdr>
    </w:div>
    <w:div w:id="2058165852">
      <w:bodyDiv w:val="1"/>
      <w:marLeft w:val="0"/>
      <w:marRight w:val="0"/>
      <w:marTop w:val="0"/>
      <w:marBottom w:val="0"/>
      <w:divBdr>
        <w:top w:val="none" w:sz="0" w:space="0" w:color="auto"/>
        <w:left w:val="none" w:sz="0" w:space="0" w:color="auto"/>
        <w:bottom w:val="none" w:sz="0" w:space="0" w:color="auto"/>
        <w:right w:val="none" w:sz="0" w:space="0" w:color="auto"/>
      </w:divBdr>
      <w:divsChild>
        <w:div w:id="1407531185">
          <w:marLeft w:val="0"/>
          <w:marRight w:val="0"/>
          <w:marTop w:val="0"/>
          <w:marBottom w:val="0"/>
          <w:divBdr>
            <w:top w:val="none" w:sz="0" w:space="0" w:color="auto"/>
            <w:left w:val="none" w:sz="0" w:space="0" w:color="auto"/>
            <w:bottom w:val="none" w:sz="0" w:space="0" w:color="auto"/>
            <w:right w:val="none" w:sz="0" w:space="0" w:color="auto"/>
          </w:divBdr>
        </w:div>
      </w:divsChild>
    </w:div>
    <w:div w:id="2070572080">
      <w:bodyDiv w:val="1"/>
      <w:marLeft w:val="0"/>
      <w:marRight w:val="0"/>
      <w:marTop w:val="0"/>
      <w:marBottom w:val="0"/>
      <w:divBdr>
        <w:top w:val="none" w:sz="0" w:space="0" w:color="auto"/>
        <w:left w:val="none" w:sz="0" w:space="0" w:color="auto"/>
        <w:bottom w:val="none" w:sz="0" w:space="0" w:color="auto"/>
        <w:right w:val="none" w:sz="0" w:space="0" w:color="auto"/>
      </w:divBdr>
    </w:div>
    <w:div w:id="2077244939">
      <w:bodyDiv w:val="1"/>
      <w:marLeft w:val="0"/>
      <w:marRight w:val="0"/>
      <w:marTop w:val="0"/>
      <w:marBottom w:val="0"/>
      <w:divBdr>
        <w:top w:val="none" w:sz="0" w:space="0" w:color="auto"/>
        <w:left w:val="none" w:sz="0" w:space="0" w:color="auto"/>
        <w:bottom w:val="none" w:sz="0" w:space="0" w:color="auto"/>
        <w:right w:val="none" w:sz="0" w:space="0" w:color="auto"/>
      </w:divBdr>
    </w:div>
    <w:div w:id="2096855861">
      <w:bodyDiv w:val="1"/>
      <w:marLeft w:val="0"/>
      <w:marRight w:val="0"/>
      <w:marTop w:val="0"/>
      <w:marBottom w:val="0"/>
      <w:divBdr>
        <w:top w:val="none" w:sz="0" w:space="0" w:color="auto"/>
        <w:left w:val="none" w:sz="0" w:space="0" w:color="auto"/>
        <w:bottom w:val="none" w:sz="0" w:space="0" w:color="auto"/>
        <w:right w:val="none" w:sz="0" w:space="0" w:color="auto"/>
      </w:divBdr>
    </w:div>
    <w:div w:id="2098289128">
      <w:bodyDiv w:val="1"/>
      <w:marLeft w:val="0"/>
      <w:marRight w:val="0"/>
      <w:marTop w:val="0"/>
      <w:marBottom w:val="0"/>
      <w:divBdr>
        <w:top w:val="none" w:sz="0" w:space="0" w:color="auto"/>
        <w:left w:val="none" w:sz="0" w:space="0" w:color="auto"/>
        <w:bottom w:val="none" w:sz="0" w:space="0" w:color="auto"/>
        <w:right w:val="none" w:sz="0" w:space="0" w:color="auto"/>
      </w:divBdr>
    </w:div>
    <w:div w:id="2103793646">
      <w:bodyDiv w:val="1"/>
      <w:marLeft w:val="0"/>
      <w:marRight w:val="0"/>
      <w:marTop w:val="0"/>
      <w:marBottom w:val="0"/>
      <w:divBdr>
        <w:top w:val="none" w:sz="0" w:space="0" w:color="auto"/>
        <w:left w:val="none" w:sz="0" w:space="0" w:color="auto"/>
        <w:bottom w:val="none" w:sz="0" w:space="0" w:color="auto"/>
        <w:right w:val="none" w:sz="0" w:space="0" w:color="auto"/>
      </w:divBdr>
    </w:div>
    <w:div w:id="2120249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2.xml" Type="http://schemas.openxmlformats.org/officeDocument/2006/relationships/header" /><Relationship Id="rId10" Target="header1.xml" Type="http://schemas.openxmlformats.org/officeDocument/2006/relationships/header" /><Relationship Id="rId11" Target="header4.xml" Type="http://schemas.openxmlformats.org/officeDocument/2006/relationships/header" /><Relationship Id="rId12" Target="header3.xml" Type="http://schemas.openxmlformats.org/officeDocument/2006/relationships/header" /><Relationship Id="rId13" Target="footer3.xml" Type="http://schemas.openxmlformats.org/officeDocument/2006/relationships/footer" /><Relationship Id="rId14" Target="footer6.xml" Type="http://schemas.openxmlformats.org/officeDocument/2006/relationships/footer" /><Relationship Id="rId15" Target="footer2.xml" Type="http://schemas.openxmlformats.org/officeDocument/2006/relationships/footer" /><Relationship Id="rId16" Target="footer5.xml" Type="http://schemas.openxmlformats.org/officeDocument/2006/relationships/footer" /><Relationship Id="rId17" Target="footer1.xml" Type="http://schemas.openxmlformats.org/officeDocument/2006/relationships/footer" /><Relationship Id="rId18" Target="footer4.xml" Type="http://schemas.openxmlformats.org/officeDocument/2006/relationships/footer" /><Relationship Type="http://schemas.openxmlformats.org/officeDocument/2006/relationships/image" Id="rId25" Target="media/rId25.png" /><Relationship Type="http://schemas.openxmlformats.org/officeDocument/2006/relationships/image" Id="rId109" Target="media/rId109.png" /><Relationship Type="http://schemas.openxmlformats.org/officeDocument/2006/relationships/image" Id="rId29" Target="media/rId29.png" /><Relationship Type="http://schemas.openxmlformats.org/officeDocument/2006/relationships/image" Id="rId118" Target="media/rId118.png" /><Relationship Type="http://schemas.openxmlformats.org/officeDocument/2006/relationships/image" Id="rId32" Target="media/rId32.png" /><Relationship Type="http://schemas.openxmlformats.org/officeDocument/2006/relationships/image" Id="rId122" Target="media/rId122.png" /><Relationship Type="http://schemas.openxmlformats.org/officeDocument/2006/relationships/image" Id="rId59" Target="media/rId59.png" /><Relationship Type="http://schemas.openxmlformats.org/officeDocument/2006/relationships/image" Id="rId56" Target="media/rId56.png" /><Relationship Type="http://schemas.openxmlformats.org/officeDocument/2006/relationships/image" Id="rId71" Target="media/rId71.png" /><Relationship Type="http://schemas.openxmlformats.org/officeDocument/2006/relationships/image" Id="rId68" Target="media/rId68.png" /><Relationship Type="http://schemas.openxmlformats.org/officeDocument/2006/relationships/image" Id="rId50" Target="media/rId50.png" /><Relationship Type="http://schemas.openxmlformats.org/officeDocument/2006/relationships/image" Id="rId53" Target="media/rId53.png" /><Relationship Type="http://schemas.openxmlformats.org/officeDocument/2006/relationships/image" Id="rId62" Target="media/rId62.png" /><Relationship Type="http://schemas.openxmlformats.org/officeDocument/2006/relationships/image" Id="rId43" Target="media/rId43.png" /><Relationship Type="http://schemas.openxmlformats.org/officeDocument/2006/relationships/image" Id="rId113" Target="media/rId113.png" /><Relationship Type="http://schemas.openxmlformats.org/officeDocument/2006/relationships/image" Id="rId46" Target="media/rId46.png" /><Relationship Type="http://schemas.openxmlformats.org/officeDocument/2006/relationships/image" Id="rId93" Target="media/rId93.png" /><Relationship Type="http://schemas.openxmlformats.org/officeDocument/2006/relationships/image" Id="rId96" Target="media/rId96.png" /><Relationship Type="http://schemas.openxmlformats.org/officeDocument/2006/relationships/image" Id="rId39" Target="media/rId39.png" /><Relationship Type="http://schemas.openxmlformats.org/officeDocument/2006/relationships/image" Id="rId36" Target="media/rId36.png" /><Relationship Type="http://schemas.openxmlformats.org/officeDocument/2006/relationships/image" Id="rId88" Target="media/rId88.png" /><Relationship Type="http://schemas.openxmlformats.org/officeDocument/2006/relationships/image" Id="rId100" Target="media/rId100.png" /><Relationship Type="http://schemas.openxmlformats.org/officeDocument/2006/relationships/image" Id="rId103" Target="media/rId103.png" /><Relationship Type="http://schemas.openxmlformats.org/officeDocument/2006/relationships/image" Id="rId75" Target="media/rId75.png" /><Relationship Type="http://schemas.openxmlformats.org/officeDocument/2006/relationships/image" Id="rId81" Target="media/rId81.png" /><Relationship Type="http://schemas.openxmlformats.org/officeDocument/2006/relationships/image" Id="rId84" Target="media/rId84.png" /><Relationship Type="http://schemas.openxmlformats.org/officeDocument/2006/relationships/image" Id="rId78" Target="media/rId78.png" /><Relationship Type="http://schemas.openxmlformats.org/officeDocument/2006/relationships/hyperlink" Id="rId158" Target="https://CRAN.R-project.org/package=arrow" TargetMode="External" /><Relationship Type="http://schemas.openxmlformats.org/officeDocument/2006/relationships/hyperlink" Id="rId171" Target="https://CRAN.R-project.org/package=dplyr" TargetMode="External" /><Relationship Type="http://schemas.openxmlformats.org/officeDocument/2006/relationships/hyperlink" Id="rId165" Target="https://CRAN.R-project.org/package=forcats" TargetMode="External" /><Relationship Type="http://schemas.openxmlformats.org/officeDocument/2006/relationships/hyperlink" Id="rId175" Target="https://CRAN.R-project.org/package=ggplot2" TargetMode="External" /><Relationship Type="http://schemas.openxmlformats.org/officeDocument/2006/relationships/hyperlink" Id="rId147" Target="https://CRAN.R-project.org/package=pointblank" TargetMode="External" /><Relationship Type="http://schemas.openxmlformats.org/officeDocument/2006/relationships/hyperlink" Id="rId173" Target="https://CRAN.R-project.org/package=readr" TargetMode="External" /><Relationship Type="http://schemas.openxmlformats.org/officeDocument/2006/relationships/hyperlink" Id="rId169" Target="https://CRAN.R-project.org/package=readxl" TargetMode="External" /><Relationship Type="http://schemas.openxmlformats.org/officeDocument/2006/relationships/hyperlink" Id="rId140" Target="https://CRAN.R-project.org/package=rmarkdown" TargetMode="External" /><Relationship Type="http://schemas.openxmlformats.org/officeDocument/2006/relationships/hyperlink" Id="rId163" Target="https://CRAN.R-project.org/package=stringr" TargetMode="External" /><Relationship Type="http://schemas.openxmlformats.org/officeDocument/2006/relationships/hyperlink" Id="rId167" Target="https://CRAN.R-project.org/package=tidyr" TargetMode="External" /><Relationship Type="http://schemas.openxmlformats.org/officeDocument/2006/relationships/hyperlink" Id="rId177" Target="https://bookdown.org/yihui/rmarkdown" TargetMode="External" /><Relationship Type="http://schemas.openxmlformats.org/officeDocument/2006/relationships/hyperlink" Id="rId179" Target="https://bookdown.org/yihui/rmarkdown-cookbook" TargetMode="External" /><Relationship Type="http://schemas.openxmlformats.org/officeDocument/2006/relationships/hyperlink" Id="rId150" Target="https://doi.org/10.21105/joss.02959" TargetMode="External" /><Relationship Type="http://schemas.openxmlformats.org/officeDocument/2006/relationships/hyperlink" Id="rId152" Target="https://dotaceeu.cz/cs/evropske-fondy-v-cr/narodni-organ-pro-koordinaci/evaluace/knihovna-evaluaci/verejne-vydaje-a-fondy-eu-2007%e2%80%932015" TargetMode="External" /><Relationship Type="http://schemas.openxmlformats.org/officeDocument/2006/relationships/hyperlink" Id="rId130" Target="https://esifinancuji.petrbouchal.xyz" TargetMode="External" /><Relationship Type="http://schemas.openxmlformats.org/officeDocument/2006/relationships/hyperlink" Id="rId161" Target="https://ggplot2.tidyverse.org" TargetMode="External" /><Relationship Type="http://schemas.openxmlformats.org/officeDocument/2006/relationships/hyperlink" Id="rId129" Target="https://github.com/petrbouchal/esifinancuji" TargetMode="External" /><Relationship Type="http://schemas.openxmlformats.org/officeDocument/2006/relationships/hyperlink" Id="rId143" Target="https://github.com/sfirke/janitor" TargetMode="External" /><Relationship Type="http://schemas.openxmlformats.org/officeDocument/2006/relationships/hyperlink" Id="rId154" Target="https://monitor.statnipokladna.cz/" TargetMode="External" /><Relationship Type="http://schemas.openxmlformats.org/officeDocument/2006/relationships/hyperlink" Id="rId156" Target="https://www.R-project.org/" TargetMode="External" /><Relationship Type="http://schemas.openxmlformats.org/officeDocument/2006/relationships/hyperlink" Id="rId145" Target="https://www.jstatsoft.org/v40/i03/" TargetMode="External" /></Relationships>
</file>

<file path=word/_rels/footnotes.xml.rels><?xml version="1.0" encoding="UTF-8"?><Relationships xmlns="http://schemas.openxmlformats.org/package/2006/relationships"><Relationship Type="http://schemas.openxmlformats.org/officeDocument/2006/relationships/hyperlink" Id="rId158" Target="https://CRAN.R-project.org/package=arrow" TargetMode="External" /><Relationship Type="http://schemas.openxmlformats.org/officeDocument/2006/relationships/hyperlink" Id="rId171" Target="https://CRAN.R-project.org/package=dplyr" TargetMode="External" /><Relationship Type="http://schemas.openxmlformats.org/officeDocument/2006/relationships/hyperlink" Id="rId165" Target="https://CRAN.R-project.org/package=forcats" TargetMode="External" /><Relationship Type="http://schemas.openxmlformats.org/officeDocument/2006/relationships/hyperlink" Id="rId175" Target="https://CRAN.R-project.org/package=ggplot2" TargetMode="External" /><Relationship Type="http://schemas.openxmlformats.org/officeDocument/2006/relationships/hyperlink" Id="rId147" Target="https://CRAN.R-project.org/package=pointblank" TargetMode="External" /><Relationship Type="http://schemas.openxmlformats.org/officeDocument/2006/relationships/hyperlink" Id="rId173" Target="https://CRAN.R-project.org/package=readr" TargetMode="External" /><Relationship Type="http://schemas.openxmlformats.org/officeDocument/2006/relationships/hyperlink" Id="rId169" Target="https://CRAN.R-project.org/package=readxl" TargetMode="External" /><Relationship Type="http://schemas.openxmlformats.org/officeDocument/2006/relationships/hyperlink" Id="rId140" Target="https://CRAN.R-project.org/package=rmarkdown" TargetMode="External" /><Relationship Type="http://schemas.openxmlformats.org/officeDocument/2006/relationships/hyperlink" Id="rId163" Target="https://CRAN.R-project.org/package=stringr" TargetMode="External" /><Relationship Type="http://schemas.openxmlformats.org/officeDocument/2006/relationships/hyperlink" Id="rId167" Target="https://CRAN.R-project.org/package=tidyr" TargetMode="External" /><Relationship Type="http://schemas.openxmlformats.org/officeDocument/2006/relationships/hyperlink" Id="rId177" Target="https://bookdown.org/yihui/rmarkdown" TargetMode="External" /><Relationship Type="http://schemas.openxmlformats.org/officeDocument/2006/relationships/hyperlink" Id="rId179" Target="https://bookdown.org/yihui/rmarkdown-cookbook" TargetMode="External" /><Relationship Type="http://schemas.openxmlformats.org/officeDocument/2006/relationships/hyperlink" Id="rId150" Target="https://doi.org/10.21105/joss.02959" TargetMode="External" /><Relationship Type="http://schemas.openxmlformats.org/officeDocument/2006/relationships/hyperlink" Id="rId152" Target="https://dotaceeu.cz/cs/evropske-fondy-v-cr/narodni-organ-pro-koordinaci/evaluace/knihovna-evaluaci/verejne-vydaje-a-fondy-eu-2007%e2%80%932015" TargetMode="External" /><Relationship Type="http://schemas.openxmlformats.org/officeDocument/2006/relationships/hyperlink" Id="rId130" Target="https://esifinancuji.petrbouchal.xyz" TargetMode="External" /><Relationship Type="http://schemas.openxmlformats.org/officeDocument/2006/relationships/hyperlink" Id="rId161" Target="https://ggplot2.tidyverse.org" TargetMode="External" /><Relationship Type="http://schemas.openxmlformats.org/officeDocument/2006/relationships/hyperlink" Id="rId129" Target="https://github.com/petrbouchal/esifinancuji" TargetMode="External" /><Relationship Type="http://schemas.openxmlformats.org/officeDocument/2006/relationships/hyperlink" Id="rId143" Target="https://github.com/sfirke/janitor" TargetMode="External" /><Relationship Type="http://schemas.openxmlformats.org/officeDocument/2006/relationships/hyperlink" Id="rId154" Target="https://monitor.statnipokladna.cz/" TargetMode="External" /><Relationship Type="http://schemas.openxmlformats.org/officeDocument/2006/relationships/hyperlink" Id="rId156" Target="https://www.R-project.org/" TargetMode="External" /><Relationship Type="http://schemas.openxmlformats.org/officeDocument/2006/relationships/hyperlink" Id="rId145" Target="https://www.jstatsoft.org/v40/i03/" TargetMode="External"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254</TotalTime>
  <Pages>13</Pages>
  <Words>2434</Words>
  <Characters>13875</Characters>
  <Application>Microsoft Office Word</Application>
  <DocSecurity>0</DocSecurity>
  <Lines>115</Lines>
  <Paragraphs>32</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Úřad vlády ČR</Company>
  <LinksUpToDate>false</LinksUpToDate>
  <CharactersWithSpaces>16277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Veřejné výdaje a ESI fondy: hlavní poznatky</dc:title>
  <dc:creator/>
  <dc:language>cs</dc:language>
  <cp:keywords/>
  <dcterms:created xsi:type="dcterms:W3CDTF">2022-02-23T22:04:54Z</dcterms:created>
  <dcterms:modified xsi:type="dcterms:W3CDTF">2022-02-23T22:04:54Z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ways_allow_html">
    <vt:lpwstr>True</vt:lpwstr>
  </property>
  <property fmtid="{D5CDD505-2E9C-101B-9397-08002B2CF9AE}" pid="3" name="bibliography">
    <vt:lpwstr/>
  </property>
  <property fmtid="{D5CDD505-2E9C-101B-9397-08002B2CF9AE}" pid="4" name="bookdown">
    <vt:lpwstr/>
  </property>
  <property fmtid="{D5CDD505-2E9C-101B-9397-08002B2CF9AE}" pid="5" name="csl">
    <vt:lpwstr>rmd-in/chicago-author-date.csl</vt:lpwstr>
  </property>
  <property fmtid="{D5CDD505-2E9C-101B-9397-08002B2CF9AE}" pid="6" name="date">
    <vt:lpwstr>12/2021</vt:lpwstr>
  </property>
  <property fmtid="{D5CDD505-2E9C-101B-9397-08002B2CF9AE}" pid="7" name="link-citations">
    <vt:lpwstr>True</vt:lpwstr>
  </property>
  <property fmtid="{D5CDD505-2E9C-101B-9397-08002B2CF9AE}" pid="8" name="nocite">
    <vt:lpwstr/>
  </property>
  <property fmtid="{D5CDD505-2E9C-101B-9397-08002B2CF9AE}" pid="9" name="output">
    <vt:lpwstr/>
  </property>
  <property fmtid="{D5CDD505-2E9C-101B-9397-08002B2CF9AE}" pid="10" name="subtitle">
    <vt:lpwstr>Interní draft</vt:lpwstr>
  </property>
  <property fmtid="{D5CDD505-2E9C-101B-9397-08002B2CF9AE}" pid="11" name="toc-title">
    <vt:lpwstr>Obsah</vt:lpwstr>
  </property>
</Properties>
</file>